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0687B848" w14:textId="77777777" w:rsidR="00FD4B9D" w:rsidRDefault="002B72E7">
      <w:pPr>
        <w:tabs>
          <w:tab w:val="center" w:pos="4536"/>
          <w:tab w:val="right" w:pos="9072"/>
        </w:tabs>
        <w:spacing w:before="120" w:after="120"/>
        <w:rPr>
          <w:b/>
          <w:sz w:val="24"/>
          <w:szCs w:val="24"/>
        </w:rPr>
      </w:pPr>
      <w:r>
        <w:rPr>
          <w:rFonts w:eastAsia="Batang"/>
          <w:b/>
          <w:sz w:val="24"/>
          <w:szCs w:val="24"/>
          <w:lang w:eastAsia="ja-JP"/>
        </w:rPr>
        <w:t>3GPP TSG RAN WG1 #10</w:t>
      </w:r>
      <w:r>
        <w:rPr>
          <w:b/>
          <w:sz w:val="24"/>
          <w:szCs w:val="24"/>
        </w:rPr>
        <w:t>7</w:t>
      </w:r>
      <w:r>
        <w:rPr>
          <w:rFonts w:eastAsia="Batang"/>
          <w:b/>
          <w:sz w:val="24"/>
          <w:szCs w:val="24"/>
          <w:lang w:eastAsia="ja-JP"/>
        </w:rPr>
        <w:t>-e</w:t>
      </w:r>
      <w:r>
        <w:rPr>
          <w:rFonts w:eastAsia="Batang"/>
          <w:b/>
          <w:sz w:val="24"/>
          <w:szCs w:val="24"/>
          <w:lang w:eastAsia="ja-JP"/>
        </w:rPr>
        <w:tab/>
      </w:r>
      <w:r>
        <w:rPr>
          <w:rFonts w:eastAsia="Batang"/>
          <w:b/>
          <w:sz w:val="24"/>
          <w:szCs w:val="24"/>
          <w:lang w:eastAsia="ja-JP"/>
        </w:rPr>
        <w:tab/>
      </w:r>
      <w:bookmarkStart w:id="0" w:name="OLE_LINK3"/>
      <w:r>
        <w:rPr>
          <w:rFonts w:eastAsia="Batang"/>
          <w:b/>
          <w:sz w:val="24"/>
          <w:szCs w:val="24"/>
          <w:lang w:eastAsia="ja-JP"/>
        </w:rPr>
        <w:t xml:space="preserve">     R1-21</w:t>
      </w:r>
      <w:bookmarkEnd w:id="0"/>
      <w:r>
        <w:rPr>
          <w:rFonts w:hint="eastAsia"/>
          <w:b/>
          <w:sz w:val="24"/>
          <w:szCs w:val="24"/>
        </w:rPr>
        <w:t>10937</w:t>
      </w:r>
    </w:p>
    <w:p w14:paraId="1FB55496" w14:textId="77777777" w:rsidR="00FD4B9D" w:rsidRDefault="002B72E7">
      <w:pPr>
        <w:tabs>
          <w:tab w:val="center" w:pos="4536"/>
          <w:tab w:val="right" w:pos="9072"/>
        </w:tabs>
        <w:spacing w:before="120" w:after="120"/>
        <w:rPr>
          <w:rFonts w:eastAsia="Batang"/>
          <w:b/>
          <w:sz w:val="24"/>
          <w:szCs w:val="24"/>
          <w:lang w:eastAsia="ja-JP"/>
        </w:rPr>
      </w:pPr>
      <w:r>
        <w:rPr>
          <w:rFonts w:eastAsia="Batang"/>
          <w:b/>
          <w:sz w:val="24"/>
          <w:szCs w:val="24"/>
          <w:lang w:eastAsia="ja-JP"/>
        </w:rPr>
        <w:t xml:space="preserve">e-Meeting, </w:t>
      </w:r>
      <w:r>
        <w:rPr>
          <w:b/>
          <w:sz w:val="24"/>
          <w:szCs w:val="24"/>
        </w:rPr>
        <w:t>Nov.</w:t>
      </w:r>
      <w:r>
        <w:rPr>
          <w:rFonts w:eastAsia="Batang"/>
          <w:b/>
          <w:sz w:val="24"/>
          <w:szCs w:val="24"/>
          <w:lang w:eastAsia="ja-JP"/>
        </w:rPr>
        <w:t xml:space="preserve"> </w:t>
      </w:r>
      <w:r>
        <w:rPr>
          <w:rFonts w:hint="eastAsia"/>
          <w:b/>
          <w:sz w:val="24"/>
          <w:szCs w:val="24"/>
        </w:rPr>
        <w:t>11</w:t>
      </w:r>
      <w:r>
        <w:rPr>
          <w:rFonts w:eastAsia="Batang"/>
          <w:b/>
          <w:sz w:val="24"/>
          <w:szCs w:val="24"/>
          <w:vertAlign w:val="superscript"/>
          <w:lang w:eastAsia="ja-JP"/>
        </w:rPr>
        <w:t>th</w:t>
      </w:r>
      <w:r>
        <w:rPr>
          <w:rFonts w:eastAsia="Batang"/>
          <w:b/>
          <w:sz w:val="24"/>
          <w:szCs w:val="24"/>
          <w:lang w:eastAsia="ja-JP"/>
        </w:rPr>
        <w:t xml:space="preserve"> – </w:t>
      </w:r>
      <w:r>
        <w:rPr>
          <w:b/>
          <w:sz w:val="24"/>
          <w:szCs w:val="24"/>
        </w:rPr>
        <w:t>Nov.</w:t>
      </w:r>
      <w:r>
        <w:rPr>
          <w:rFonts w:hint="eastAsia"/>
          <w:b/>
          <w:sz w:val="24"/>
          <w:szCs w:val="24"/>
        </w:rPr>
        <w:t xml:space="preserve"> 19</w:t>
      </w:r>
      <w:r>
        <w:rPr>
          <w:rFonts w:eastAsia="Batang"/>
          <w:b/>
          <w:sz w:val="24"/>
          <w:szCs w:val="24"/>
          <w:vertAlign w:val="superscript"/>
          <w:lang w:eastAsia="ja-JP"/>
        </w:rPr>
        <w:t>th</w:t>
      </w:r>
      <w:r>
        <w:rPr>
          <w:rFonts w:eastAsia="Batang"/>
          <w:b/>
          <w:sz w:val="24"/>
          <w:szCs w:val="24"/>
          <w:lang w:eastAsia="ja-JP"/>
        </w:rPr>
        <w:t>, 2021</w:t>
      </w:r>
    </w:p>
    <w:p w14:paraId="0A7ABB56" w14:textId="77777777" w:rsidR="00FD4B9D" w:rsidRDefault="002B72E7">
      <w:pPr>
        <w:tabs>
          <w:tab w:val="center" w:pos="4536"/>
          <w:tab w:val="right" w:pos="9072"/>
        </w:tabs>
        <w:spacing w:before="120" w:after="120"/>
        <w:rPr>
          <w:b/>
          <w:sz w:val="22"/>
          <w:szCs w:val="22"/>
        </w:rPr>
      </w:pPr>
      <w:r>
        <w:rPr>
          <w:b/>
          <w:sz w:val="22"/>
          <w:szCs w:val="22"/>
        </w:rPr>
        <w:tab/>
      </w:r>
    </w:p>
    <w:p w14:paraId="2171989A" w14:textId="77777777" w:rsidR="00FD4B9D" w:rsidRDefault="002B72E7">
      <w:pPr>
        <w:tabs>
          <w:tab w:val="left" w:pos="1985"/>
        </w:tabs>
        <w:spacing w:before="120" w:after="120" w:line="240" w:lineRule="auto"/>
        <w:ind w:left="1980" w:hanging="1980"/>
        <w:rPr>
          <w:b/>
          <w:sz w:val="22"/>
          <w:szCs w:val="22"/>
        </w:rPr>
      </w:pPr>
      <w:r>
        <w:rPr>
          <w:b/>
          <w:sz w:val="22"/>
          <w:szCs w:val="22"/>
        </w:rPr>
        <w:t xml:space="preserve">Source: </w:t>
      </w:r>
      <w:r>
        <w:rPr>
          <w:b/>
          <w:sz w:val="22"/>
          <w:szCs w:val="22"/>
        </w:rPr>
        <w:tab/>
        <w:t>ZTE, Sanechips</w:t>
      </w:r>
    </w:p>
    <w:p w14:paraId="1DF814EE" w14:textId="77777777" w:rsidR="00FD4B9D" w:rsidRDefault="002B72E7">
      <w:pPr>
        <w:tabs>
          <w:tab w:val="left" w:pos="1985"/>
        </w:tabs>
        <w:spacing w:before="120" w:after="120" w:line="240" w:lineRule="auto"/>
        <w:ind w:left="1980" w:hanging="1980"/>
        <w:rPr>
          <w:b/>
          <w:sz w:val="22"/>
          <w:szCs w:val="22"/>
        </w:rPr>
      </w:pPr>
      <w:r>
        <w:rPr>
          <w:b/>
          <w:sz w:val="22"/>
          <w:szCs w:val="22"/>
        </w:rPr>
        <w:t>Title:</w:t>
      </w:r>
      <w:r>
        <w:rPr>
          <w:b/>
          <w:sz w:val="22"/>
          <w:szCs w:val="22"/>
        </w:rPr>
        <w:tab/>
        <w:t>Discussion on power saving enhancements for paging</w:t>
      </w:r>
    </w:p>
    <w:p w14:paraId="51479ECA" w14:textId="77777777" w:rsidR="00FD4B9D" w:rsidRDefault="002B72E7">
      <w:pPr>
        <w:tabs>
          <w:tab w:val="left" w:pos="1985"/>
        </w:tabs>
        <w:spacing w:before="120" w:after="120" w:line="240" w:lineRule="auto"/>
        <w:rPr>
          <w:b/>
          <w:sz w:val="22"/>
          <w:szCs w:val="22"/>
        </w:rPr>
      </w:pPr>
      <w:r>
        <w:rPr>
          <w:b/>
          <w:sz w:val="22"/>
          <w:szCs w:val="22"/>
          <w:lang w:val="pt-BR"/>
        </w:rPr>
        <w:t>Agenda item:</w:t>
      </w:r>
      <w:r>
        <w:rPr>
          <w:b/>
          <w:sz w:val="22"/>
          <w:szCs w:val="22"/>
          <w:lang w:val="pt-BR"/>
        </w:rPr>
        <w:tab/>
        <w:t>8.7.1.1</w:t>
      </w:r>
    </w:p>
    <w:p w14:paraId="43A38B4B" w14:textId="77777777" w:rsidR="00FD4B9D" w:rsidRDefault="002B72E7">
      <w:pPr>
        <w:tabs>
          <w:tab w:val="left" w:pos="1985"/>
        </w:tabs>
        <w:spacing w:before="120" w:after="120" w:line="240" w:lineRule="auto"/>
        <w:ind w:left="1980" w:hanging="1980"/>
        <w:rPr>
          <w:b/>
          <w:sz w:val="22"/>
          <w:szCs w:val="22"/>
          <w:lang w:val="pt-BR"/>
        </w:rPr>
      </w:pPr>
      <w:r>
        <w:rPr>
          <w:b/>
          <w:sz w:val="22"/>
          <w:szCs w:val="22"/>
          <w:lang w:val="pt-BR"/>
        </w:rPr>
        <w:t>Document for:</w:t>
      </w:r>
      <w:r>
        <w:rPr>
          <w:b/>
          <w:sz w:val="22"/>
          <w:szCs w:val="22"/>
          <w:lang w:val="pt-BR"/>
        </w:rPr>
        <w:tab/>
      </w:r>
      <w:r>
        <w:rPr>
          <w:b/>
          <w:sz w:val="22"/>
          <w:szCs w:val="22"/>
        </w:rPr>
        <w:t>Discussion and d</w:t>
      </w:r>
      <w:bookmarkStart w:id="1" w:name="_GoBack"/>
      <w:bookmarkEnd w:id="1"/>
      <w:r>
        <w:rPr>
          <w:b/>
          <w:sz w:val="22"/>
          <w:szCs w:val="22"/>
        </w:rPr>
        <w:t>ecision</w:t>
      </w:r>
    </w:p>
    <w:p w14:paraId="742382E7" w14:textId="77777777" w:rsidR="00FD4B9D" w:rsidRDefault="002B72E7">
      <w:pPr>
        <w:pStyle w:val="1"/>
        <w:spacing w:before="120" w:after="120"/>
        <w:ind w:left="0"/>
        <w:rPr>
          <w:rFonts w:ascii="Times New Roman" w:eastAsia="宋体" w:hAnsi="Times New Roman"/>
          <w:b/>
          <w:bCs/>
          <w:sz w:val="24"/>
          <w:szCs w:val="24"/>
        </w:rPr>
      </w:pPr>
      <w:r>
        <w:rPr>
          <w:rFonts w:ascii="Times New Roman" w:eastAsia="宋体" w:hAnsi="Times New Roman"/>
          <w:b/>
          <w:bCs/>
          <w:sz w:val="24"/>
          <w:szCs w:val="24"/>
        </w:rPr>
        <w:t>Introduction</w:t>
      </w:r>
    </w:p>
    <w:p w14:paraId="1161BCC6" w14:textId="77777777" w:rsidR="00FD4B9D" w:rsidRDefault="002B72E7">
      <w:pPr>
        <w:spacing w:before="120" w:after="120"/>
      </w:pPr>
      <w:r>
        <w:rPr>
          <w:rFonts w:hint="eastAsia"/>
        </w:rPr>
        <w:t>In 3GPP TSG RAN1 #106b-e meeting, the conclusion</w:t>
      </w:r>
      <w:r>
        <w:t xml:space="preserve"> of PEI</w:t>
      </w:r>
      <w:r>
        <w:rPr>
          <w:rFonts w:hint="eastAsia"/>
        </w:rPr>
        <w:t xml:space="preserve"> was reached as follows</w:t>
      </w:r>
      <w:r>
        <w:t xml:space="preserve"> [1].</w:t>
      </w:r>
    </w:p>
    <w:tbl>
      <w:tblPr>
        <w:tblStyle w:val="ac"/>
        <w:tblW w:w="0" w:type="auto"/>
        <w:jc w:val="center"/>
        <w:tblLook w:val="04A0" w:firstRow="1" w:lastRow="0" w:firstColumn="1" w:lastColumn="0" w:noHBand="0" w:noVBand="1"/>
      </w:tblPr>
      <w:tblGrid>
        <w:gridCol w:w="9650"/>
      </w:tblGrid>
      <w:tr w:rsidR="00FD4B9D" w14:paraId="03C05E25" w14:textId="77777777">
        <w:trPr>
          <w:trHeight w:val="488"/>
          <w:jc w:val="center"/>
        </w:trPr>
        <w:tc>
          <w:tcPr>
            <w:tcW w:w="9660" w:type="dxa"/>
          </w:tcPr>
          <w:p w14:paraId="6D93BE49" w14:textId="77777777" w:rsidR="00FD4B9D" w:rsidRDefault="002B72E7">
            <w:pPr>
              <w:spacing w:before="120" w:after="120"/>
              <w:rPr>
                <w:szCs w:val="21"/>
                <w:highlight w:val="green"/>
              </w:rPr>
            </w:pPr>
            <w:r>
              <w:rPr>
                <w:szCs w:val="21"/>
                <w:highlight w:val="green"/>
              </w:rPr>
              <w:t>Agreement</w:t>
            </w:r>
          </w:p>
          <w:p w14:paraId="57F7E5DD" w14:textId="77777777" w:rsidR="00FD4B9D" w:rsidRDefault="002B72E7">
            <w:pPr>
              <w:spacing w:before="120" w:after="120"/>
              <w:rPr>
                <w:szCs w:val="21"/>
              </w:rPr>
            </w:pPr>
            <w:r>
              <w:rPr>
                <w:szCs w:val="21"/>
              </w:rPr>
              <w:t>For NR Rel-17, paging indications to UE subgroups are carried only in PEI.</w:t>
            </w:r>
          </w:p>
          <w:p w14:paraId="5C3A2620" w14:textId="77777777" w:rsidR="00FD4B9D" w:rsidRDefault="00FD4B9D">
            <w:pPr>
              <w:widowControl/>
              <w:spacing w:beforeLines="0" w:before="0" w:afterLines="0" w:after="0" w:line="288" w:lineRule="auto"/>
              <w:rPr>
                <w:color w:val="000000"/>
                <w:szCs w:val="21"/>
                <w:highlight w:val="green"/>
                <w:shd w:val="clear" w:color="auto" w:fill="FFFF00"/>
                <w:lang w:eastAsia="ko-KR"/>
              </w:rPr>
            </w:pPr>
          </w:p>
          <w:p w14:paraId="3DD58778" w14:textId="77777777" w:rsidR="00FD4B9D" w:rsidRDefault="002B72E7">
            <w:pPr>
              <w:widowControl/>
              <w:spacing w:beforeLines="0" w:before="0" w:afterLines="0" w:after="0" w:line="288" w:lineRule="auto"/>
              <w:rPr>
                <w:szCs w:val="21"/>
                <w:highlight w:val="green"/>
                <w:lang w:eastAsia="ko-KR"/>
              </w:rPr>
            </w:pPr>
            <w:r>
              <w:rPr>
                <w:color w:val="000000"/>
                <w:szCs w:val="21"/>
                <w:highlight w:val="green"/>
                <w:shd w:val="clear" w:color="auto" w:fill="FFFF00"/>
                <w:lang w:eastAsia="ko-KR"/>
              </w:rPr>
              <w:t xml:space="preserve">Agreement </w:t>
            </w:r>
          </w:p>
          <w:p w14:paraId="43BAEB5F" w14:textId="77777777" w:rsidR="00FD4B9D" w:rsidRDefault="002B72E7">
            <w:pPr>
              <w:widowControl/>
              <w:spacing w:beforeLines="0" w:before="0" w:afterLines="0" w:after="0" w:line="288" w:lineRule="auto"/>
              <w:rPr>
                <w:szCs w:val="21"/>
                <w:lang w:eastAsia="ko-KR"/>
              </w:rPr>
            </w:pPr>
            <w:r>
              <w:rPr>
                <w:szCs w:val="21"/>
                <w:lang w:eastAsia="ko-KR"/>
              </w:rPr>
              <w:t>For PEI, a new DCI format is supported to include at least paging indications to UE group(s)/subgroups of the associated PO(s)</w:t>
            </w:r>
          </w:p>
          <w:p w14:paraId="74E4811D" w14:textId="77777777" w:rsidR="00FD4B9D" w:rsidRDefault="002B72E7">
            <w:pPr>
              <w:widowControl/>
              <w:numPr>
                <w:ilvl w:val="0"/>
                <w:numId w:val="8"/>
              </w:numPr>
              <w:spacing w:beforeLines="0" w:before="0" w:afterLines="0" w:after="0" w:line="288" w:lineRule="auto"/>
              <w:rPr>
                <w:szCs w:val="21"/>
                <w:lang w:eastAsia="ko-KR"/>
              </w:rPr>
            </w:pPr>
            <w:r>
              <w:rPr>
                <w:szCs w:val="21"/>
                <w:lang w:eastAsia="ko-KR"/>
              </w:rPr>
              <w:t>One bit in the DCI payload indicating one UE subgroup of a PO or one UE group/PO</w:t>
            </w:r>
          </w:p>
          <w:p w14:paraId="7D3A1B0F" w14:textId="77777777" w:rsidR="00FD4B9D" w:rsidRDefault="002B72E7">
            <w:pPr>
              <w:widowControl/>
              <w:numPr>
                <w:ilvl w:val="0"/>
                <w:numId w:val="8"/>
              </w:numPr>
              <w:spacing w:beforeLines="0" w:before="0" w:afterLines="0" w:after="0" w:line="288" w:lineRule="auto"/>
              <w:rPr>
                <w:szCs w:val="21"/>
                <w:lang w:eastAsia="ko-KR"/>
              </w:rPr>
            </w:pPr>
            <w:r>
              <w:rPr>
                <w:szCs w:val="21"/>
                <w:lang w:eastAsia="ko-KR"/>
              </w:rPr>
              <w:t xml:space="preserve">The maximum number of total bits for paging indication field in PEI DCI format is </w:t>
            </w:r>
            <w:r>
              <w:rPr>
                <w:color w:val="FF0000"/>
                <w:szCs w:val="21"/>
              </w:rPr>
              <w:t>x</w:t>
            </w:r>
            <w:r>
              <w:rPr>
                <w:szCs w:val="21"/>
              </w:rPr>
              <w:t xml:space="preserve"> </w:t>
            </w:r>
          </w:p>
          <w:p w14:paraId="392D1373" w14:textId="77777777" w:rsidR="00FD4B9D" w:rsidRDefault="002B72E7">
            <w:pPr>
              <w:widowControl/>
              <w:numPr>
                <w:ilvl w:val="1"/>
                <w:numId w:val="8"/>
              </w:numPr>
              <w:spacing w:beforeLines="0" w:before="0" w:afterLines="0" w:after="0" w:line="288" w:lineRule="auto"/>
              <w:rPr>
                <w:color w:val="FF0000"/>
                <w:szCs w:val="21"/>
                <w:lang w:eastAsia="ko-KR"/>
              </w:rPr>
            </w:pPr>
            <w:r>
              <w:rPr>
                <w:color w:val="FF0000"/>
                <w:szCs w:val="21"/>
                <w:lang w:eastAsia="ko-KR"/>
              </w:rPr>
              <w:t>One PEI can be configured to indicate up to 4 PO(s) in a PF</w:t>
            </w:r>
          </w:p>
          <w:p w14:paraId="114FE624" w14:textId="77777777" w:rsidR="00FD4B9D" w:rsidRDefault="002B72E7">
            <w:pPr>
              <w:widowControl/>
              <w:numPr>
                <w:ilvl w:val="2"/>
                <w:numId w:val="8"/>
              </w:numPr>
              <w:spacing w:beforeLines="0" w:before="0" w:afterLines="0" w:after="0" w:line="288" w:lineRule="auto"/>
              <w:rPr>
                <w:color w:val="FF0000"/>
                <w:szCs w:val="21"/>
                <w:lang w:eastAsia="ko-KR"/>
              </w:rPr>
            </w:pPr>
            <w:r>
              <w:rPr>
                <w:rFonts w:eastAsia="DengXian"/>
                <w:color w:val="FF0000"/>
                <w:szCs w:val="21"/>
              </w:rPr>
              <w:t>FFS whether to supporting map PEI to 3 POs in a PF</w:t>
            </w:r>
          </w:p>
          <w:p w14:paraId="413CB1DE" w14:textId="77777777" w:rsidR="00FD4B9D" w:rsidRDefault="002B72E7">
            <w:pPr>
              <w:widowControl/>
              <w:numPr>
                <w:ilvl w:val="1"/>
                <w:numId w:val="8"/>
              </w:numPr>
              <w:spacing w:beforeLines="0" w:before="0" w:afterLines="0" w:after="0" w:line="288" w:lineRule="auto"/>
              <w:rPr>
                <w:color w:val="FF0000"/>
                <w:szCs w:val="21"/>
                <w:lang w:eastAsia="ko-KR"/>
              </w:rPr>
            </w:pPr>
            <w:r>
              <w:rPr>
                <w:color w:val="FF0000"/>
                <w:szCs w:val="21"/>
                <w:lang w:eastAsia="ko-KR"/>
              </w:rPr>
              <w:t>FFS: 1 PEI for POs across multiple PFs</w:t>
            </w:r>
          </w:p>
          <w:p w14:paraId="508073BB" w14:textId="77777777" w:rsidR="00FD4B9D" w:rsidRDefault="002B72E7">
            <w:pPr>
              <w:widowControl/>
              <w:numPr>
                <w:ilvl w:val="1"/>
                <w:numId w:val="8"/>
              </w:numPr>
              <w:spacing w:beforeLines="0" w:before="0" w:afterLines="0" w:after="0" w:line="288" w:lineRule="auto"/>
              <w:rPr>
                <w:color w:val="FF0000"/>
                <w:szCs w:val="21"/>
                <w:lang w:eastAsia="ko-KR"/>
              </w:rPr>
            </w:pPr>
            <w:r>
              <w:rPr>
                <w:rFonts w:eastAsia="DengXian"/>
                <w:color w:val="FF0000"/>
                <w:szCs w:val="21"/>
              </w:rPr>
              <w:t>FFS: value of x</w:t>
            </w:r>
          </w:p>
          <w:p w14:paraId="6AE49DDB" w14:textId="77777777" w:rsidR="00FD4B9D" w:rsidRDefault="00FD4B9D">
            <w:pPr>
              <w:widowControl/>
              <w:spacing w:beforeLines="0" w:before="0" w:afterLines="0" w:after="0" w:line="288" w:lineRule="auto"/>
              <w:rPr>
                <w:szCs w:val="21"/>
                <w:lang w:eastAsia="ko-KR"/>
              </w:rPr>
            </w:pPr>
          </w:p>
          <w:p w14:paraId="5F88BAFD" w14:textId="77777777" w:rsidR="00FD4B9D" w:rsidRDefault="002B72E7">
            <w:pPr>
              <w:widowControl/>
              <w:spacing w:beforeLines="0" w:before="0" w:afterLines="0" w:after="0" w:line="288" w:lineRule="auto"/>
              <w:rPr>
                <w:szCs w:val="21"/>
                <w:highlight w:val="green"/>
              </w:rPr>
            </w:pPr>
            <w:r>
              <w:rPr>
                <w:szCs w:val="21"/>
                <w:highlight w:val="green"/>
              </w:rPr>
              <w:t xml:space="preserve">Agreement </w:t>
            </w:r>
          </w:p>
          <w:p w14:paraId="1B7A736C" w14:textId="77777777" w:rsidR="00FD4B9D" w:rsidRDefault="002B72E7">
            <w:pPr>
              <w:widowControl/>
              <w:spacing w:beforeLines="0" w:before="0" w:afterLines="0" w:after="0" w:line="288" w:lineRule="auto"/>
              <w:rPr>
                <w:szCs w:val="21"/>
              </w:rPr>
            </w:pPr>
            <w:r>
              <w:rPr>
                <w:szCs w:val="21"/>
              </w:rPr>
              <w:t xml:space="preserve">A PEI occasion (PEI-O) is a set of </w:t>
            </w:r>
            <w:r>
              <w:rPr>
                <w:i/>
                <w:iCs/>
                <w:szCs w:val="21"/>
              </w:rPr>
              <w:t>S</w:t>
            </w:r>
            <w:r>
              <w:rPr>
                <w:szCs w:val="21"/>
              </w:rPr>
              <w:t xml:space="preserve"> consecutive PDCCH monitoring occasions when </w:t>
            </w:r>
            <w:r>
              <w:rPr>
                <w:i/>
                <w:iCs/>
                <w:szCs w:val="21"/>
              </w:rPr>
              <w:t>nrofPDCCH-MonitoringOccasionPerSSB-InPO</w:t>
            </w:r>
            <w:r>
              <w:rPr>
                <w:szCs w:val="21"/>
              </w:rPr>
              <w:t xml:space="preserve"> is not configured</w:t>
            </w:r>
          </w:p>
          <w:p w14:paraId="43AAC535" w14:textId="77777777" w:rsidR="00FD4B9D" w:rsidRDefault="002B72E7">
            <w:pPr>
              <w:pStyle w:val="af1"/>
              <w:widowControl/>
              <w:numPr>
                <w:ilvl w:val="0"/>
                <w:numId w:val="9"/>
              </w:numPr>
              <w:spacing w:before="0" w:afterLines="0" w:line="288" w:lineRule="auto"/>
              <w:rPr>
                <w:sz w:val="21"/>
                <w:szCs w:val="21"/>
              </w:rPr>
            </w:pPr>
            <w:r>
              <w:rPr>
                <w:i/>
                <w:iCs/>
                <w:sz w:val="21"/>
                <w:szCs w:val="21"/>
              </w:rPr>
              <w:t>S</w:t>
            </w:r>
            <w:r>
              <w:rPr>
                <w:sz w:val="21"/>
                <w:szCs w:val="21"/>
              </w:rPr>
              <w:t xml:space="preserve"> is the number of actual transmitted SSBs determined according to </w:t>
            </w:r>
            <w:r>
              <w:rPr>
                <w:i/>
                <w:iCs/>
                <w:sz w:val="21"/>
                <w:szCs w:val="21"/>
              </w:rPr>
              <w:t>ssb-PositionsInBurst</w:t>
            </w:r>
            <w:r>
              <w:rPr>
                <w:sz w:val="21"/>
                <w:szCs w:val="21"/>
              </w:rPr>
              <w:t xml:space="preserve"> in SIB1</w:t>
            </w:r>
          </w:p>
          <w:p w14:paraId="095C6D55" w14:textId="77777777" w:rsidR="00FD4B9D" w:rsidRDefault="002B72E7">
            <w:pPr>
              <w:pStyle w:val="af1"/>
              <w:widowControl/>
              <w:numPr>
                <w:ilvl w:val="0"/>
                <w:numId w:val="9"/>
              </w:numPr>
              <w:spacing w:before="0" w:afterLines="0" w:line="288" w:lineRule="auto"/>
              <w:rPr>
                <w:sz w:val="21"/>
                <w:szCs w:val="21"/>
              </w:rPr>
            </w:pPr>
            <w:r>
              <w:rPr>
                <w:sz w:val="21"/>
                <w:szCs w:val="21"/>
              </w:rPr>
              <w:t xml:space="preserve">The </w:t>
            </w:r>
            <w:r>
              <w:rPr>
                <w:i/>
                <w:iCs/>
                <w:sz w:val="21"/>
                <w:szCs w:val="21"/>
              </w:rPr>
              <w:t>K</w:t>
            </w:r>
            <w:r>
              <w:rPr>
                <w:sz w:val="21"/>
                <w:szCs w:val="21"/>
              </w:rPr>
              <w:t xml:space="preserve">-th PDCCH monitoring occasion for PEI in the PEI-O has the same QCL assumption as that of the </w:t>
            </w:r>
            <w:r>
              <w:rPr>
                <w:i/>
                <w:iCs/>
                <w:sz w:val="21"/>
                <w:szCs w:val="21"/>
              </w:rPr>
              <w:t>K</w:t>
            </w:r>
            <w:r>
              <w:rPr>
                <w:sz w:val="21"/>
                <w:szCs w:val="21"/>
              </w:rPr>
              <w:t>-th PDCCH monitoring occasion for paging in the PO.</w:t>
            </w:r>
          </w:p>
          <w:p w14:paraId="39DAF8A5" w14:textId="77777777" w:rsidR="00FD4B9D" w:rsidRDefault="002B72E7">
            <w:pPr>
              <w:pStyle w:val="af1"/>
              <w:widowControl/>
              <w:numPr>
                <w:ilvl w:val="1"/>
                <w:numId w:val="9"/>
              </w:numPr>
              <w:spacing w:before="0" w:afterLines="0" w:line="288" w:lineRule="auto"/>
              <w:rPr>
                <w:sz w:val="21"/>
                <w:szCs w:val="21"/>
              </w:rPr>
            </w:pPr>
            <w:r>
              <w:rPr>
                <w:sz w:val="21"/>
                <w:szCs w:val="21"/>
              </w:rPr>
              <w:t>Note: QCL reference is SSB</w:t>
            </w:r>
          </w:p>
          <w:p w14:paraId="2081B693" w14:textId="77777777" w:rsidR="00FD4B9D" w:rsidRDefault="002B72E7">
            <w:pPr>
              <w:pStyle w:val="af1"/>
              <w:widowControl/>
              <w:numPr>
                <w:ilvl w:val="0"/>
                <w:numId w:val="9"/>
              </w:numPr>
              <w:spacing w:before="0" w:afterLines="0" w:line="288" w:lineRule="auto"/>
              <w:rPr>
                <w:sz w:val="21"/>
                <w:szCs w:val="21"/>
              </w:rPr>
            </w:pPr>
            <w:r>
              <w:rPr>
                <w:sz w:val="21"/>
                <w:szCs w:val="21"/>
              </w:rPr>
              <w:t xml:space="preserve">FFS: Determination of the PEI-O location </w:t>
            </w:r>
          </w:p>
          <w:p w14:paraId="2B45D6B5" w14:textId="77777777" w:rsidR="00FD4B9D" w:rsidRDefault="002B72E7">
            <w:pPr>
              <w:pStyle w:val="af1"/>
              <w:widowControl/>
              <w:numPr>
                <w:ilvl w:val="0"/>
                <w:numId w:val="9"/>
              </w:numPr>
              <w:spacing w:before="0" w:afterLines="0" w:line="288" w:lineRule="auto"/>
              <w:rPr>
                <w:sz w:val="21"/>
                <w:szCs w:val="21"/>
              </w:rPr>
            </w:pPr>
            <w:r>
              <w:rPr>
                <w:sz w:val="21"/>
                <w:szCs w:val="21"/>
              </w:rPr>
              <w:t xml:space="preserve">FFS: Support of unlicensed spectrum operation with </w:t>
            </w:r>
            <w:r>
              <w:rPr>
                <w:i/>
                <w:iCs/>
                <w:sz w:val="21"/>
                <w:szCs w:val="21"/>
              </w:rPr>
              <w:t>nrofPDCCH-MonitoringOccasionPerSSB-InPO</w:t>
            </w:r>
            <w:r>
              <w:rPr>
                <w:sz w:val="21"/>
                <w:szCs w:val="21"/>
              </w:rPr>
              <w:t xml:space="preserve"> configured</w:t>
            </w:r>
          </w:p>
          <w:p w14:paraId="314AA529" w14:textId="77777777" w:rsidR="00FD4B9D" w:rsidRDefault="00FD4B9D">
            <w:pPr>
              <w:pStyle w:val="af1"/>
              <w:widowControl/>
              <w:spacing w:before="0" w:afterLines="0" w:line="288" w:lineRule="auto"/>
              <w:ind w:left="0"/>
              <w:rPr>
                <w:rFonts w:eastAsia="Microsoft YaHei UI"/>
                <w:color w:val="000000"/>
                <w:sz w:val="21"/>
                <w:szCs w:val="21"/>
                <w:shd w:val="clear" w:color="auto" w:fill="00FF00"/>
              </w:rPr>
            </w:pPr>
          </w:p>
          <w:p w14:paraId="17AEF3B5" w14:textId="77777777" w:rsidR="00FD4B9D" w:rsidRDefault="002B72E7">
            <w:pPr>
              <w:widowControl/>
              <w:spacing w:beforeLines="0" w:before="0" w:afterLines="0" w:after="0" w:line="288" w:lineRule="auto"/>
              <w:rPr>
                <w:color w:val="000000"/>
                <w:szCs w:val="21"/>
              </w:rPr>
            </w:pPr>
            <w:r>
              <w:rPr>
                <w:color w:val="000000"/>
                <w:szCs w:val="21"/>
                <w:shd w:val="clear" w:color="auto" w:fill="00FF00"/>
              </w:rPr>
              <w:t>Agreement </w:t>
            </w:r>
          </w:p>
          <w:p w14:paraId="2DC82A1E" w14:textId="77777777" w:rsidR="00FD4B9D" w:rsidRDefault="002B72E7">
            <w:pPr>
              <w:widowControl/>
              <w:spacing w:beforeLines="0" w:before="0" w:afterLines="0" w:after="0" w:line="288" w:lineRule="auto"/>
              <w:rPr>
                <w:color w:val="000000"/>
                <w:szCs w:val="21"/>
              </w:rPr>
            </w:pPr>
            <w:r>
              <w:rPr>
                <w:color w:val="000000"/>
                <w:szCs w:val="21"/>
              </w:rPr>
              <w:t>CORESET # 0 or </w:t>
            </w:r>
            <w:r>
              <w:rPr>
                <w:i/>
                <w:iCs/>
                <w:color w:val="000000"/>
                <w:szCs w:val="21"/>
              </w:rPr>
              <w:t>commonControlResourceSet</w:t>
            </w:r>
            <w:r>
              <w:rPr>
                <w:color w:val="000000"/>
                <w:szCs w:val="21"/>
              </w:rPr>
              <w:t> in SIB1 can be used for PEI</w:t>
            </w:r>
          </w:p>
          <w:p w14:paraId="73047FB0" w14:textId="77777777" w:rsidR="00FD4B9D" w:rsidRDefault="002B72E7">
            <w:pPr>
              <w:pStyle w:val="af1"/>
              <w:widowControl/>
              <w:spacing w:before="0" w:afterLines="0" w:line="288" w:lineRule="auto"/>
              <w:ind w:left="0"/>
              <w:rPr>
                <w:rFonts w:eastAsia="宋体"/>
                <w:color w:val="000000"/>
                <w:sz w:val="21"/>
                <w:szCs w:val="21"/>
              </w:rPr>
            </w:pPr>
            <w:r>
              <w:rPr>
                <w:rFonts w:eastAsia="宋体"/>
                <w:color w:val="000000"/>
                <w:sz w:val="21"/>
                <w:szCs w:val="21"/>
              </w:rPr>
              <w:t xml:space="preserve">        Note: The </w:t>
            </w:r>
            <w:r>
              <w:rPr>
                <w:sz w:val="21"/>
                <w:szCs w:val="21"/>
              </w:rPr>
              <w:t xml:space="preserve">number </w:t>
            </w:r>
            <w:r>
              <w:rPr>
                <w:rFonts w:eastAsia="宋体"/>
                <w:color w:val="000000"/>
                <w:sz w:val="21"/>
                <w:szCs w:val="21"/>
              </w:rPr>
              <w:t>of CORESETs configured for a UE follows the requirement of UE feature 3-1</w:t>
            </w:r>
          </w:p>
          <w:p w14:paraId="0EA36506" w14:textId="77777777" w:rsidR="00FD4B9D" w:rsidRDefault="002B72E7">
            <w:pPr>
              <w:pStyle w:val="af1"/>
              <w:widowControl/>
              <w:spacing w:before="0" w:afterLines="0" w:line="288" w:lineRule="auto"/>
              <w:ind w:left="0"/>
              <w:rPr>
                <w:rFonts w:eastAsia="宋体"/>
                <w:color w:val="000000"/>
                <w:sz w:val="21"/>
                <w:szCs w:val="21"/>
              </w:rPr>
            </w:pPr>
            <w:r>
              <w:rPr>
                <w:rFonts w:eastAsia="宋体"/>
                <w:color w:val="1F497D"/>
                <w:sz w:val="21"/>
                <w:szCs w:val="21"/>
              </w:rPr>
              <w:t> </w:t>
            </w:r>
          </w:p>
          <w:p w14:paraId="2D6741D1" w14:textId="77777777" w:rsidR="00FD4B9D" w:rsidRDefault="002B72E7">
            <w:pPr>
              <w:widowControl/>
              <w:spacing w:beforeLines="0" w:before="0" w:afterLines="0" w:after="0" w:line="288" w:lineRule="auto"/>
              <w:rPr>
                <w:rFonts w:eastAsia="Microsoft YaHei UI"/>
                <w:color w:val="000000"/>
                <w:szCs w:val="21"/>
              </w:rPr>
            </w:pPr>
            <w:r>
              <w:rPr>
                <w:rFonts w:eastAsia="Microsoft YaHei UI"/>
                <w:color w:val="000000"/>
                <w:szCs w:val="21"/>
                <w:shd w:val="clear" w:color="auto" w:fill="00FF00"/>
              </w:rPr>
              <w:t>Agreement </w:t>
            </w:r>
          </w:p>
          <w:p w14:paraId="6D54AFF6" w14:textId="77777777" w:rsidR="00FD4B9D" w:rsidRDefault="002B72E7">
            <w:pPr>
              <w:widowControl/>
              <w:spacing w:beforeLines="0" w:before="0" w:afterLines="0" w:after="0" w:line="288" w:lineRule="auto"/>
              <w:rPr>
                <w:color w:val="000000"/>
                <w:szCs w:val="21"/>
              </w:rPr>
            </w:pPr>
            <w:r>
              <w:rPr>
                <w:color w:val="000000"/>
                <w:szCs w:val="21"/>
              </w:rPr>
              <w:t>Support configuration of a dedicated search space (‘peiSearchSpace’) for PEI</w:t>
            </w:r>
          </w:p>
          <w:p w14:paraId="64EF63AE" w14:textId="77777777" w:rsidR="00FD4B9D" w:rsidRDefault="002B72E7">
            <w:pPr>
              <w:pStyle w:val="af1"/>
              <w:widowControl/>
              <w:spacing w:before="0" w:afterLines="0" w:line="288" w:lineRule="auto"/>
              <w:ind w:left="360"/>
              <w:rPr>
                <w:rFonts w:eastAsia="宋体"/>
                <w:color w:val="000000"/>
                <w:sz w:val="21"/>
                <w:szCs w:val="21"/>
              </w:rPr>
            </w:pPr>
            <w:r>
              <w:rPr>
                <w:rFonts w:eastAsia="宋体"/>
                <w:color w:val="000000"/>
                <w:sz w:val="21"/>
                <w:szCs w:val="21"/>
              </w:rPr>
              <w:lastRenderedPageBreak/>
              <w:t xml:space="preserve"> FFS: Configuration </w:t>
            </w:r>
            <w:r>
              <w:rPr>
                <w:sz w:val="21"/>
                <w:szCs w:val="21"/>
              </w:rPr>
              <w:t xml:space="preserve">details </w:t>
            </w:r>
            <w:r>
              <w:rPr>
                <w:rFonts w:eastAsia="宋体"/>
                <w:color w:val="000000"/>
                <w:sz w:val="21"/>
                <w:szCs w:val="21"/>
              </w:rPr>
              <w:t>and whether and how to reuse legacy search space sets,</w:t>
            </w:r>
            <w:r>
              <w:rPr>
                <w:rFonts w:eastAsia="宋体" w:hint="eastAsia"/>
                <w:color w:val="000000"/>
                <w:sz w:val="21"/>
                <w:szCs w:val="21"/>
              </w:rPr>
              <w:t xml:space="preserve"> </w:t>
            </w:r>
            <w:r>
              <w:rPr>
                <w:rFonts w:eastAsia="宋体"/>
                <w:color w:val="000000"/>
                <w:sz w:val="21"/>
                <w:szCs w:val="21"/>
              </w:rPr>
              <w:t>including </w:t>
            </w:r>
            <w:r>
              <w:rPr>
                <w:rFonts w:eastAsia="宋体"/>
                <w:i/>
                <w:iCs/>
                <w:color w:val="000000"/>
                <w:sz w:val="21"/>
                <w:szCs w:val="21"/>
              </w:rPr>
              <w:t>pagingSearchSpace</w:t>
            </w:r>
            <w:r>
              <w:rPr>
                <w:rFonts w:eastAsia="宋体"/>
                <w:color w:val="000000"/>
                <w:sz w:val="21"/>
                <w:szCs w:val="21"/>
              </w:rPr>
              <w:t> and </w:t>
            </w:r>
            <w:r>
              <w:rPr>
                <w:rFonts w:eastAsia="宋体"/>
                <w:i/>
                <w:iCs/>
                <w:color w:val="000000"/>
                <w:sz w:val="21"/>
                <w:szCs w:val="21"/>
              </w:rPr>
              <w:t>searchSpaceSetZero</w:t>
            </w:r>
          </w:p>
          <w:p w14:paraId="4ECFF908" w14:textId="77777777" w:rsidR="00FD4B9D" w:rsidRDefault="00FD4B9D">
            <w:pPr>
              <w:pStyle w:val="af1"/>
              <w:widowControl/>
              <w:spacing w:before="0" w:afterLines="0" w:line="288" w:lineRule="auto"/>
              <w:ind w:left="0"/>
              <w:rPr>
                <w:sz w:val="21"/>
                <w:szCs w:val="21"/>
              </w:rPr>
            </w:pPr>
          </w:p>
          <w:p w14:paraId="1B917430" w14:textId="77777777" w:rsidR="00FD4B9D" w:rsidRDefault="002B72E7">
            <w:pPr>
              <w:widowControl/>
              <w:spacing w:beforeLines="0" w:before="0" w:afterLines="0" w:after="0" w:line="288" w:lineRule="auto"/>
              <w:rPr>
                <w:color w:val="000000"/>
                <w:szCs w:val="21"/>
                <w:lang w:eastAsia="ko-KR"/>
              </w:rPr>
            </w:pPr>
            <w:r>
              <w:rPr>
                <w:color w:val="000000"/>
                <w:szCs w:val="21"/>
                <w:shd w:val="clear" w:color="auto" w:fill="00FF00"/>
              </w:rPr>
              <w:t>Agreement</w:t>
            </w:r>
          </w:p>
          <w:p w14:paraId="36230578" w14:textId="77777777" w:rsidR="00FD4B9D" w:rsidRDefault="002B72E7">
            <w:pPr>
              <w:widowControl/>
              <w:spacing w:beforeLines="0" w:before="0" w:afterLines="0" w:after="0" w:line="288" w:lineRule="auto"/>
              <w:rPr>
                <w:color w:val="000000"/>
                <w:szCs w:val="21"/>
              </w:rPr>
            </w:pPr>
            <w:r>
              <w:rPr>
                <w:color w:val="000000"/>
                <w:szCs w:val="21"/>
              </w:rPr>
              <w:t>Determination of PEI-O location for a target PO is based on one of the following alternatives:</w:t>
            </w:r>
          </w:p>
          <w:p w14:paraId="789590A0" w14:textId="77777777" w:rsidR="00FD4B9D" w:rsidRDefault="002B72E7">
            <w:pPr>
              <w:pStyle w:val="af1"/>
              <w:widowControl/>
              <w:numPr>
                <w:ilvl w:val="0"/>
                <w:numId w:val="10"/>
              </w:numPr>
              <w:spacing w:before="0" w:afterLines="0" w:line="288" w:lineRule="auto"/>
              <w:rPr>
                <w:rFonts w:eastAsia="Microsoft YaHei UI"/>
                <w:color w:val="000000"/>
                <w:sz w:val="21"/>
                <w:szCs w:val="21"/>
              </w:rPr>
            </w:pPr>
            <w:r>
              <w:rPr>
                <w:rFonts w:eastAsia="Microsoft YaHei UI"/>
                <w:color w:val="000000"/>
                <w:sz w:val="21"/>
                <w:szCs w:val="21"/>
              </w:rPr>
              <w:t>Alt 1: The first PDCCH monitoring occasion of the PEI-O is provided w.r.t. the start of a reference frame determined by a frame-level offset to the PF of the target PO</w:t>
            </w:r>
          </w:p>
          <w:p w14:paraId="1CDA47A2" w14:textId="77777777" w:rsidR="00FD4B9D" w:rsidRDefault="002B72E7">
            <w:pPr>
              <w:pStyle w:val="af1"/>
              <w:widowControl/>
              <w:numPr>
                <w:ilvl w:val="1"/>
                <w:numId w:val="10"/>
              </w:numPr>
              <w:spacing w:before="0" w:afterLines="0" w:line="288" w:lineRule="auto"/>
              <w:rPr>
                <w:rFonts w:eastAsia="Microsoft YaHei UI"/>
                <w:color w:val="000000"/>
                <w:sz w:val="21"/>
                <w:szCs w:val="21"/>
              </w:rPr>
            </w:pPr>
            <w:r>
              <w:rPr>
                <w:rFonts w:eastAsia="Microsoft YaHei UI"/>
                <w:color w:val="000000"/>
                <w:sz w:val="21"/>
                <w:szCs w:val="21"/>
              </w:rPr>
              <w:t>FFS: The unit and the range of the frame-level offset</w:t>
            </w:r>
          </w:p>
          <w:p w14:paraId="7CFACEEA" w14:textId="77777777" w:rsidR="00FD4B9D" w:rsidRDefault="002B72E7">
            <w:pPr>
              <w:pStyle w:val="af1"/>
              <w:widowControl/>
              <w:numPr>
                <w:ilvl w:val="1"/>
                <w:numId w:val="10"/>
              </w:numPr>
              <w:spacing w:before="0" w:afterLines="0" w:line="288" w:lineRule="auto"/>
              <w:rPr>
                <w:rFonts w:eastAsia="Microsoft YaHei UI"/>
                <w:color w:val="000000"/>
                <w:sz w:val="21"/>
                <w:szCs w:val="21"/>
              </w:rPr>
            </w:pPr>
            <w:r>
              <w:rPr>
                <w:rFonts w:eastAsia="Microsoft YaHei UI"/>
                <w:color w:val="000000"/>
                <w:sz w:val="21"/>
                <w:szCs w:val="21"/>
              </w:rPr>
              <w:t>FFS: The unit and the range of the configuration for the first PDCCH monitoring occasion (e.g., to be the same as those of </w:t>
            </w:r>
            <w:r>
              <w:rPr>
                <w:rFonts w:eastAsia="Microsoft YaHei UI"/>
                <w:i/>
                <w:iCs/>
                <w:color w:val="000000"/>
                <w:sz w:val="21"/>
                <w:szCs w:val="21"/>
              </w:rPr>
              <w:t>firstPDCCH-MonitoringOccasionOfPO</w:t>
            </w:r>
            <w:r>
              <w:rPr>
                <w:rFonts w:eastAsia="Microsoft YaHei UI"/>
                <w:color w:val="000000"/>
                <w:sz w:val="21"/>
                <w:szCs w:val="21"/>
              </w:rPr>
              <w:t>)</w:t>
            </w:r>
          </w:p>
          <w:p w14:paraId="3CE0E8A2" w14:textId="77777777" w:rsidR="00FD4B9D" w:rsidRDefault="002B72E7">
            <w:pPr>
              <w:pStyle w:val="af1"/>
              <w:widowControl/>
              <w:numPr>
                <w:ilvl w:val="0"/>
                <w:numId w:val="10"/>
              </w:numPr>
              <w:spacing w:before="0" w:afterLines="0" w:line="288" w:lineRule="auto"/>
              <w:rPr>
                <w:rFonts w:eastAsia="Microsoft YaHei UI"/>
                <w:color w:val="000000"/>
                <w:sz w:val="21"/>
                <w:szCs w:val="21"/>
              </w:rPr>
            </w:pPr>
            <w:r>
              <w:rPr>
                <w:rFonts w:eastAsia="Microsoft YaHei UI"/>
                <w:color w:val="000000"/>
                <w:sz w:val="21"/>
                <w:szCs w:val="21"/>
              </w:rPr>
              <w:t>Alt 2: The first PDCCH monitoring occasion of the PEI-O is provided w.r.t. the </w:t>
            </w:r>
            <w:r>
              <w:rPr>
                <w:rFonts w:eastAsia="Microsoft YaHei UI"/>
                <w:i/>
                <w:iCs/>
                <w:color w:val="000000"/>
                <w:sz w:val="21"/>
                <w:szCs w:val="21"/>
              </w:rPr>
              <w:t>L</w:t>
            </w:r>
            <w:r>
              <w:rPr>
                <w:rFonts w:eastAsia="Microsoft YaHei UI"/>
                <w:color w:val="000000"/>
                <w:sz w:val="21"/>
                <w:szCs w:val="21"/>
              </w:rPr>
              <w:t>-th SS burst before the first PDCCH monitoring occasion of the target PO.</w:t>
            </w:r>
          </w:p>
          <w:p w14:paraId="1B4971FC" w14:textId="77777777" w:rsidR="00FD4B9D" w:rsidRDefault="002B72E7">
            <w:pPr>
              <w:pStyle w:val="af1"/>
              <w:widowControl/>
              <w:numPr>
                <w:ilvl w:val="1"/>
                <w:numId w:val="10"/>
              </w:numPr>
              <w:spacing w:before="0" w:afterLines="0" w:line="288" w:lineRule="auto"/>
              <w:rPr>
                <w:rFonts w:eastAsia="Microsoft YaHei UI"/>
                <w:color w:val="000000"/>
                <w:sz w:val="21"/>
                <w:szCs w:val="21"/>
              </w:rPr>
            </w:pPr>
            <w:r>
              <w:rPr>
                <w:rFonts w:eastAsia="Microsoft YaHei UI"/>
                <w:color w:val="000000"/>
                <w:sz w:val="21"/>
                <w:szCs w:val="21"/>
              </w:rPr>
              <w:t>FFS: the case that a SSB burst overlaps in time with the target PO</w:t>
            </w:r>
          </w:p>
          <w:p w14:paraId="6BA68FEF" w14:textId="77777777" w:rsidR="00FD4B9D" w:rsidRDefault="002B72E7">
            <w:pPr>
              <w:pStyle w:val="af1"/>
              <w:widowControl/>
              <w:numPr>
                <w:ilvl w:val="1"/>
                <w:numId w:val="10"/>
              </w:numPr>
              <w:spacing w:before="0" w:afterLines="0" w:line="288" w:lineRule="auto"/>
              <w:rPr>
                <w:rFonts w:eastAsia="Microsoft YaHei UI"/>
                <w:color w:val="000000"/>
                <w:sz w:val="21"/>
                <w:szCs w:val="21"/>
              </w:rPr>
            </w:pPr>
            <w:r>
              <w:rPr>
                <w:rFonts w:eastAsia="Microsoft YaHei UI"/>
                <w:color w:val="000000"/>
                <w:sz w:val="21"/>
                <w:szCs w:val="21"/>
              </w:rPr>
              <w:t>FFS: </w:t>
            </w:r>
            <w:r>
              <w:rPr>
                <w:rFonts w:eastAsia="Microsoft YaHei UI"/>
                <w:i/>
                <w:iCs/>
                <w:color w:val="000000"/>
                <w:sz w:val="21"/>
                <w:szCs w:val="21"/>
              </w:rPr>
              <w:t>L</w:t>
            </w:r>
            <w:r>
              <w:rPr>
                <w:rFonts w:eastAsia="Microsoft YaHei UI"/>
                <w:color w:val="000000"/>
                <w:sz w:val="21"/>
                <w:szCs w:val="21"/>
              </w:rPr>
              <w:t> = 1, 2 or 3</w:t>
            </w:r>
          </w:p>
          <w:p w14:paraId="6FECB749" w14:textId="77777777" w:rsidR="00FD4B9D" w:rsidRDefault="002B72E7">
            <w:pPr>
              <w:pStyle w:val="af1"/>
              <w:widowControl/>
              <w:numPr>
                <w:ilvl w:val="1"/>
                <w:numId w:val="10"/>
              </w:numPr>
              <w:spacing w:before="0" w:afterLines="0" w:line="288" w:lineRule="auto"/>
              <w:rPr>
                <w:rFonts w:eastAsia="Microsoft YaHei UI"/>
                <w:color w:val="000000"/>
                <w:sz w:val="21"/>
                <w:szCs w:val="21"/>
              </w:rPr>
            </w:pPr>
            <w:r>
              <w:rPr>
                <w:rFonts w:eastAsia="Microsoft YaHei UI"/>
                <w:color w:val="000000"/>
                <w:sz w:val="21"/>
                <w:szCs w:val="21"/>
              </w:rPr>
              <w:t>FFS: Reference the “start” or “end” of the </w:t>
            </w:r>
            <w:r>
              <w:rPr>
                <w:rFonts w:eastAsia="Microsoft YaHei UI"/>
                <w:i/>
                <w:iCs/>
                <w:color w:val="000000"/>
                <w:sz w:val="21"/>
                <w:szCs w:val="21"/>
              </w:rPr>
              <w:t>L</w:t>
            </w:r>
            <w:r>
              <w:rPr>
                <w:rFonts w:eastAsia="Microsoft YaHei UI"/>
                <w:color w:val="000000"/>
                <w:sz w:val="21"/>
                <w:szCs w:val="21"/>
              </w:rPr>
              <w:t>-th SS burst</w:t>
            </w:r>
          </w:p>
          <w:p w14:paraId="67406846" w14:textId="77777777" w:rsidR="00FD4B9D" w:rsidRDefault="002B72E7">
            <w:pPr>
              <w:pStyle w:val="af1"/>
              <w:widowControl/>
              <w:numPr>
                <w:ilvl w:val="1"/>
                <w:numId w:val="10"/>
              </w:numPr>
              <w:spacing w:before="0" w:afterLines="0" w:line="288" w:lineRule="auto"/>
              <w:rPr>
                <w:rFonts w:eastAsia="Microsoft YaHei UI"/>
                <w:color w:val="000000"/>
                <w:sz w:val="21"/>
                <w:szCs w:val="21"/>
              </w:rPr>
            </w:pPr>
            <w:r>
              <w:rPr>
                <w:rFonts w:eastAsia="Microsoft YaHei UI"/>
                <w:color w:val="000000"/>
                <w:sz w:val="21"/>
                <w:szCs w:val="21"/>
              </w:rPr>
              <w:t>FFS: The unit and the range of the configuration for the first PDCCH monitoring occasion</w:t>
            </w:r>
          </w:p>
          <w:p w14:paraId="2CED2FE7" w14:textId="77777777" w:rsidR="00FD4B9D" w:rsidRDefault="002B72E7">
            <w:pPr>
              <w:pStyle w:val="af1"/>
              <w:widowControl/>
              <w:numPr>
                <w:ilvl w:val="0"/>
                <w:numId w:val="11"/>
              </w:numPr>
              <w:spacing w:before="0" w:afterLines="0" w:line="288" w:lineRule="auto"/>
              <w:rPr>
                <w:rFonts w:eastAsia="Microsoft YaHei UI"/>
                <w:color w:val="000000"/>
                <w:sz w:val="21"/>
                <w:szCs w:val="21"/>
              </w:rPr>
            </w:pPr>
            <w:r>
              <w:rPr>
                <w:rFonts w:eastAsia="Microsoft YaHei UI"/>
                <w:color w:val="000000"/>
                <w:sz w:val="21"/>
                <w:szCs w:val="21"/>
              </w:rPr>
              <w:t>Alt 3: The first PDCCH monitoring occasion of the PEI-O is provided by a time offset w.r.t. a reference time for the target PO.</w:t>
            </w:r>
          </w:p>
          <w:p w14:paraId="22538F08" w14:textId="77777777" w:rsidR="00FD4B9D" w:rsidRDefault="002B72E7">
            <w:pPr>
              <w:pStyle w:val="af1"/>
              <w:widowControl/>
              <w:numPr>
                <w:ilvl w:val="1"/>
                <w:numId w:val="11"/>
              </w:numPr>
              <w:spacing w:before="0" w:afterLines="0" w:line="288" w:lineRule="auto"/>
              <w:rPr>
                <w:rFonts w:eastAsia="Microsoft YaHei UI"/>
                <w:color w:val="000000"/>
                <w:sz w:val="21"/>
                <w:szCs w:val="21"/>
              </w:rPr>
            </w:pPr>
            <w:r>
              <w:rPr>
                <w:rFonts w:eastAsia="Microsoft YaHei UI"/>
                <w:color w:val="000000"/>
                <w:sz w:val="21"/>
                <w:szCs w:val="21"/>
              </w:rPr>
              <w:t>FFS: The exact definition of the reference time, e.g. the first MO of the target PO, the first MO of the first PO indicated by the PEI, the start of the PF for the target PO</w:t>
            </w:r>
          </w:p>
          <w:p w14:paraId="7AA2DEC6" w14:textId="77777777" w:rsidR="00FD4B9D" w:rsidRDefault="002B72E7">
            <w:pPr>
              <w:pStyle w:val="af1"/>
              <w:widowControl/>
              <w:numPr>
                <w:ilvl w:val="1"/>
                <w:numId w:val="11"/>
              </w:numPr>
              <w:spacing w:before="0" w:afterLines="0" w:line="288" w:lineRule="auto"/>
              <w:rPr>
                <w:rFonts w:eastAsia="Microsoft YaHei UI"/>
                <w:color w:val="000000"/>
                <w:sz w:val="21"/>
                <w:szCs w:val="21"/>
              </w:rPr>
            </w:pPr>
            <w:r>
              <w:rPr>
                <w:rFonts w:eastAsia="Microsoft YaHei UI"/>
                <w:color w:val="000000"/>
                <w:sz w:val="21"/>
                <w:szCs w:val="21"/>
              </w:rPr>
              <w:t>FFS: The unit and the range of the time offset</w:t>
            </w:r>
          </w:p>
          <w:p w14:paraId="55494CF6" w14:textId="77777777" w:rsidR="00FD4B9D" w:rsidRDefault="002B72E7">
            <w:pPr>
              <w:pStyle w:val="af1"/>
              <w:widowControl/>
              <w:numPr>
                <w:ilvl w:val="0"/>
                <w:numId w:val="11"/>
              </w:numPr>
              <w:spacing w:before="0" w:afterLines="0" w:line="288" w:lineRule="auto"/>
              <w:rPr>
                <w:rFonts w:eastAsia="Microsoft YaHei UI"/>
                <w:color w:val="000000"/>
                <w:sz w:val="21"/>
                <w:szCs w:val="21"/>
              </w:rPr>
            </w:pPr>
            <w:r>
              <w:rPr>
                <w:rFonts w:eastAsia="Microsoft YaHei UI"/>
                <w:color w:val="000000"/>
                <w:sz w:val="21"/>
                <w:szCs w:val="21"/>
              </w:rPr>
              <w:t>FFS: Whether any SS burst or TRS burst is needed between PEI-O and PO</w:t>
            </w:r>
          </w:p>
          <w:p w14:paraId="781A5D18" w14:textId="77777777" w:rsidR="00FD4B9D" w:rsidRDefault="002B72E7">
            <w:pPr>
              <w:pStyle w:val="af1"/>
              <w:widowControl/>
              <w:numPr>
                <w:ilvl w:val="0"/>
                <w:numId w:val="11"/>
              </w:numPr>
              <w:spacing w:before="0" w:afterLines="0" w:line="288" w:lineRule="auto"/>
              <w:rPr>
                <w:rFonts w:eastAsia="Microsoft YaHei UI"/>
                <w:color w:val="000000"/>
                <w:sz w:val="21"/>
                <w:szCs w:val="21"/>
              </w:rPr>
            </w:pPr>
            <w:r>
              <w:rPr>
                <w:rFonts w:eastAsia="Microsoft YaHei UI"/>
                <w:color w:val="000000"/>
                <w:sz w:val="21"/>
                <w:szCs w:val="21"/>
              </w:rPr>
              <w:t>Configuration for one PEI indicating multiple POs within a PF should be taken into consideration in the determination of PEI occasion  </w:t>
            </w:r>
          </w:p>
          <w:p w14:paraId="267258DB" w14:textId="77777777" w:rsidR="00FD4B9D" w:rsidRDefault="002B72E7">
            <w:pPr>
              <w:widowControl/>
              <w:spacing w:beforeLines="0" w:before="0" w:afterLines="0" w:after="0" w:line="288" w:lineRule="auto"/>
              <w:rPr>
                <w:color w:val="000000"/>
                <w:szCs w:val="21"/>
              </w:rPr>
            </w:pPr>
            <w:r>
              <w:rPr>
                <w:color w:val="000000"/>
                <w:szCs w:val="21"/>
              </w:rPr>
              <w:t>Decide one of the above alternatives or a single merged solution based on the alternatives in RAN1#107-e meeting.</w:t>
            </w:r>
          </w:p>
          <w:p w14:paraId="0BC79C35" w14:textId="77777777" w:rsidR="00FD4B9D" w:rsidRDefault="002B72E7">
            <w:pPr>
              <w:widowControl/>
              <w:spacing w:beforeLines="0" w:before="0" w:afterLines="0" w:after="0" w:line="288" w:lineRule="auto"/>
              <w:rPr>
                <w:szCs w:val="21"/>
              </w:rPr>
            </w:pPr>
            <w:r>
              <w:rPr>
                <w:color w:val="000000"/>
                <w:szCs w:val="21"/>
              </w:rPr>
              <w:t>FFS: Extension for the case one PEI indicates multiple POs across multiple PFs, if supported</w:t>
            </w:r>
          </w:p>
        </w:tc>
      </w:tr>
    </w:tbl>
    <w:p w14:paraId="05E87076" w14:textId="77777777" w:rsidR="00FD4B9D" w:rsidRDefault="002B72E7">
      <w:pPr>
        <w:spacing w:before="120" w:after="120"/>
        <w:rPr>
          <w:sz w:val="20"/>
        </w:rPr>
      </w:pPr>
      <w:r>
        <w:rPr>
          <w:rFonts w:hint="eastAsia"/>
        </w:rPr>
        <w:lastRenderedPageBreak/>
        <w:t>In this contribution,</w:t>
      </w:r>
      <w:r>
        <w:t xml:space="preserve"> the </w:t>
      </w:r>
      <w:r>
        <w:rPr>
          <w:rFonts w:hint="eastAsia"/>
        </w:rPr>
        <w:t>detail</w:t>
      </w:r>
      <w:r>
        <w:t>ed</w:t>
      </w:r>
      <w:r>
        <w:rPr>
          <w:rFonts w:hint="eastAsia"/>
        </w:rPr>
        <w:t xml:space="preserve"> design</w:t>
      </w:r>
      <w:r>
        <w:t xml:space="preserve"> for </w:t>
      </w:r>
      <w:r>
        <w:rPr>
          <w:rFonts w:hint="eastAsia"/>
        </w:rPr>
        <w:t>PDCCH-based PEI</w:t>
      </w:r>
      <w:r>
        <w:t xml:space="preserve"> is </w:t>
      </w:r>
      <w:r>
        <w:rPr>
          <w:rFonts w:hint="eastAsia"/>
        </w:rPr>
        <w:t xml:space="preserve">further </w:t>
      </w:r>
      <w:r>
        <w:t>discussed.</w:t>
      </w:r>
      <w:r>
        <w:rPr>
          <w:rFonts w:hint="eastAsia"/>
        </w:rPr>
        <w:t xml:space="preserve"> </w:t>
      </w:r>
    </w:p>
    <w:p w14:paraId="412F0921" w14:textId="77777777" w:rsidR="00FD4B9D" w:rsidRDefault="00FD4B9D">
      <w:pPr>
        <w:spacing w:before="120" w:after="120"/>
        <w:rPr>
          <w:sz w:val="20"/>
        </w:rPr>
      </w:pPr>
    </w:p>
    <w:p w14:paraId="447DFB8C" w14:textId="77777777" w:rsidR="00FD4B9D" w:rsidRDefault="002B72E7">
      <w:pPr>
        <w:pStyle w:val="1"/>
        <w:spacing w:before="120" w:after="120"/>
        <w:ind w:left="0"/>
        <w:rPr>
          <w:rFonts w:ascii="Times New Roman" w:eastAsia="宋体" w:hAnsi="Times New Roman"/>
          <w:b/>
          <w:bCs/>
          <w:sz w:val="24"/>
          <w:szCs w:val="24"/>
        </w:rPr>
      </w:pPr>
      <w:r>
        <w:rPr>
          <w:rFonts w:ascii="Times New Roman" w:eastAsia="宋体" w:hAnsi="Times New Roman" w:hint="eastAsia"/>
          <w:b/>
          <w:bCs/>
          <w:sz w:val="24"/>
          <w:szCs w:val="24"/>
        </w:rPr>
        <w:t>General design of PEI</w:t>
      </w:r>
    </w:p>
    <w:p w14:paraId="30280B6B" w14:textId="1B077820" w:rsidR="00FD4B9D" w:rsidRDefault="002B72E7">
      <w:pPr>
        <w:spacing w:before="120" w:after="120"/>
      </w:pPr>
      <w:r>
        <w:rPr>
          <w:rFonts w:hint="eastAsia"/>
        </w:rPr>
        <w:t>According to the agreements in 3GPP TSG RAN 1#106b-e meeting, some designs</w:t>
      </w:r>
      <w:r>
        <w:t xml:space="preserve"> of PEI</w:t>
      </w:r>
      <w:r>
        <w:rPr>
          <w:rFonts w:hint="eastAsia"/>
        </w:rPr>
        <w:t xml:space="preserve">, such as the mapping methods of the paging indications, PEI-O location, search space and CORESET </w:t>
      </w:r>
      <w:r>
        <w:t>were</w:t>
      </w:r>
      <w:r>
        <w:rPr>
          <w:rFonts w:hint="eastAsia"/>
        </w:rPr>
        <w:t xml:space="preserve"> discussed. </w:t>
      </w:r>
      <w:r>
        <w:t>S</w:t>
      </w:r>
      <w:r>
        <w:rPr>
          <w:rFonts w:hint="eastAsia"/>
        </w:rPr>
        <w:t>ome detail</w:t>
      </w:r>
      <w:r>
        <w:t>ed</w:t>
      </w:r>
      <w:r>
        <w:rPr>
          <w:rFonts w:hint="eastAsia"/>
        </w:rPr>
        <w:t xml:space="preserve"> designs</w:t>
      </w:r>
      <w:r>
        <w:t xml:space="preserve"> of PEI</w:t>
      </w:r>
      <w:r>
        <w:rPr>
          <w:rFonts w:hint="eastAsia"/>
        </w:rPr>
        <w:t xml:space="preserve"> </w:t>
      </w:r>
      <w:r>
        <w:t>ha</w:t>
      </w:r>
      <w:r>
        <w:rPr>
          <w:rFonts w:hint="eastAsia"/>
        </w:rPr>
        <w:t>ven</w:t>
      </w:r>
      <w:r>
        <w:t>’</w:t>
      </w:r>
      <w:r>
        <w:rPr>
          <w:rFonts w:hint="eastAsia"/>
        </w:rPr>
        <w:t xml:space="preserve">t </w:t>
      </w:r>
      <w:r>
        <w:t>been settled down yet</w:t>
      </w:r>
      <w:r>
        <w:rPr>
          <w:rFonts w:hint="eastAsia"/>
        </w:rPr>
        <w:t>. In this contribution, the further discussion</w:t>
      </w:r>
      <w:r>
        <w:t xml:space="preserve"> and analysis</w:t>
      </w:r>
      <w:r>
        <w:rPr>
          <w:rFonts w:hint="eastAsia"/>
        </w:rPr>
        <w:t xml:space="preserve"> are provided. </w:t>
      </w:r>
    </w:p>
    <w:p w14:paraId="0B4ACE62" w14:textId="77777777" w:rsidR="00FD4B9D" w:rsidRDefault="00FD4B9D">
      <w:pPr>
        <w:spacing w:before="120" w:after="120"/>
      </w:pPr>
    </w:p>
    <w:p w14:paraId="4FDC3628" w14:textId="77777777" w:rsidR="00FD4B9D" w:rsidRDefault="002B72E7">
      <w:pPr>
        <w:pStyle w:val="2"/>
        <w:spacing w:before="120" w:after="120" w:line="260" w:lineRule="auto"/>
        <w:ind w:left="0" w:right="210"/>
        <w:rPr>
          <w:sz w:val="21"/>
          <w:szCs w:val="21"/>
        </w:rPr>
      </w:pPr>
      <w:r>
        <w:rPr>
          <w:rFonts w:ascii="Times New Roman" w:eastAsia="宋体" w:hAnsi="Times New Roman"/>
          <w:b/>
          <w:bCs/>
          <w:sz w:val="22"/>
          <w:szCs w:val="22"/>
        </w:rPr>
        <w:t>I</w:t>
      </w:r>
      <w:r>
        <w:rPr>
          <w:rFonts w:ascii="Times New Roman" w:eastAsia="宋体" w:hAnsi="Times New Roman" w:hint="eastAsia"/>
          <w:b/>
          <w:bCs/>
          <w:sz w:val="22"/>
          <w:szCs w:val="22"/>
        </w:rPr>
        <w:t>nformation carried by PEI</w:t>
      </w:r>
    </w:p>
    <w:p w14:paraId="4E166AFB" w14:textId="77777777" w:rsidR="00FD4B9D" w:rsidRDefault="002B72E7">
      <w:pPr>
        <w:numPr>
          <w:ilvl w:val="0"/>
          <w:numId w:val="12"/>
        </w:numPr>
        <w:spacing w:before="120" w:after="120" w:line="260" w:lineRule="auto"/>
        <w:rPr>
          <w:b/>
          <w:bCs/>
          <w:szCs w:val="21"/>
        </w:rPr>
      </w:pPr>
      <w:r>
        <w:rPr>
          <w:rFonts w:hint="eastAsia"/>
          <w:b/>
          <w:bCs/>
          <w:szCs w:val="21"/>
        </w:rPr>
        <w:t>Multiple PO indication</w:t>
      </w:r>
    </w:p>
    <w:p w14:paraId="4D12FFD7" w14:textId="77777777" w:rsidR="00FD4B9D" w:rsidRDefault="002B72E7">
      <w:pPr>
        <w:spacing w:before="120" w:after="120"/>
      </w:pPr>
      <w:r>
        <w:rPr>
          <w:rFonts w:hint="eastAsia"/>
          <w:szCs w:val="21"/>
        </w:rPr>
        <w:t>In</w:t>
      </w:r>
      <w:r>
        <w:rPr>
          <w:szCs w:val="21"/>
        </w:rPr>
        <w:t xml:space="preserve"> </w:t>
      </w:r>
      <w:r>
        <w:rPr>
          <w:rFonts w:hint="eastAsia"/>
        </w:rPr>
        <w:t xml:space="preserve">3GPP TSG RAN 1#106b-e meeting, </w:t>
      </w:r>
      <w:r>
        <w:t xml:space="preserve">it was agree that </w:t>
      </w:r>
      <w:r>
        <w:rPr>
          <w:rFonts w:hint="eastAsia"/>
        </w:rPr>
        <w:t xml:space="preserve">one PEI can be configured to indicate up to 4 PO(s) in a PF. </w:t>
      </w:r>
    </w:p>
    <w:tbl>
      <w:tblPr>
        <w:tblStyle w:val="ac"/>
        <w:tblW w:w="0" w:type="auto"/>
        <w:jc w:val="center"/>
        <w:tblLook w:val="04A0" w:firstRow="1" w:lastRow="0" w:firstColumn="1" w:lastColumn="0" w:noHBand="0" w:noVBand="1"/>
      </w:tblPr>
      <w:tblGrid>
        <w:gridCol w:w="9650"/>
      </w:tblGrid>
      <w:tr w:rsidR="00FD4B9D" w14:paraId="69876EC6" w14:textId="77777777">
        <w:trPr>
          <w:trHeight w:val="588"/>
          <w:jc w:val="center"/>
        </w:trPr>
        <w:tc>
          <w:tcPr>
            <w:tcW w:w="9660" w:type="dxa"/>
          </w:tcPr>
          <w:p w14:paraId="6CEDC115" w14:textId="77777777" w:rsidR="00FD4B9D" w:rsidRDefault="002B72E7">
            <w:pPr>
              <w:spacing w:before="120" w:after="120"/>
              <w:rPr>
                <w:szCs w:val="21"/>
                <w:highlight w:val="green"/>
                <w:lang w:eastAsia="ko-KR"/>
              </w:rPr>
            </w:pPr>
            <w:r>
              <w:rPr>
                <w:color w:val="000000"/>
                <w:szCs w:val="21"/>
                <w:highlight w:val="green"/>
                <w:shd w:val="clear" w:color="auto" w:fill="FFFF00"/>
                <w:lang w:eastAsia="ko-KR"/>
              </w:rPr>
              <w:t xml:space="preserve">Agreement </w:t>
            </w:r>
          </w:p>
          <w:p w14:paraId="781524A2" w14:textId="77777777" w:rsidR="00FD4B9D" w:rsidRDefault="002B72E7">
            <w:pPr>
              <w:spacing w:before="120" w:after="120"/>
              <w:rPr>
                <w:szCs w:val="21"/>
                <w:lang w:eastAsia="ko-KR"/>
              </w:rPr>
            </w:pPr>
            <w:r>
              <w:rPr>
                <w:szCs w:val="21"/>
                <w:lang w:eastAsia="ko-KR"/>
              </w:rPr>
              <w:t>For PEI, a new DCI format is supported to include at least paging indications to UE group(s)/subgroups of the associated PO(s)</w:t>
            </w:r>
          </w:p>
          <w:p w14:paraId="5E2B4B2B" w14:textId="77777777" w:rsidR="00FD4B9D" w:rsidRDefault="002B72E7">
            <w:pPr>
              <w:numPr>
                <w:ilvl w:val="0"/>
                <w:numId w:val="8"/>
              </w:numPr>
              <w:spacing w:beforeLines="0" w:before="120" w:afterLines="0" w:after="120" w:line="240" w:lineRule="auto"/>
              <w:rPr>
                <w:szCs w:val="21"/>
                <w:lang w:eastAsia="ko-KR"/>
              </w:rPr>
            </w:pPr>
            <w:r>
              <w:rPr>
                <w:szCs w:val="21"/>
                <w:lang w:eastAsia="ko-KR"/>
              </w:rPr>
              <w:lastRenderedPageBreak/>
              <w:t>One bit in the DCI payload indicating one UE subgroup of a PO or one UE group/PO</w:t>
            </w:r>
          </w:p>
          <w:p w14:paraId="3DEF9540" w14:textId="77777777" w:rsidR="00FD4B9D" w:rsidRDefault="002B72E7">
            <w:pPr>
              <w:numPr>
                <w:ilvl w:val="0"/>
                <w:numId w:val="8"/>
              </w:numPr>
              <w:spacing w:beforeLines="0" w:before="120" w:afterLines="0" w:after="120" w:line="240" w:lineRule="auto"/>
              <w:rPr>
                <w:szCs w:val="21"/>
                <w:lang w:eastAsia="ko-KR"/>
              </w:rPr>
            </w:pPr>
            <w:r>
              <w:rPr>
                <w:szCs w:val="21"/>
                <w:lang w:eastAsia="ko-KR"/>
              </w:rPr>
              <w:t xml:space="preserve">The maximum number of total bits for paging indication field in PEI DCI format is </w:t>
            </w:r>
            <w:r>
              <w:rPr>
                <w:szCs w:val="21"/>
              </w:rPr>
              <w:t xml:space="preserve">x </w:t>
            </w:r>
          </w:p>
          <w:p w14:paraId="2B3D8FEB" w14:textId="77777777" w:rsidR="00FD4B9D" w:rsidRDefault="002B72E7">
            <w:pPr>
              <w:numPr>
                <w:ilvl w:val="1"/>
                <w:numId w:val="8"/>
              </w:numPr>
              <w:spacing w:beforeLines="0" w:before="120" w:afterLines="0" w:after="120" w:line="240" w:lineRule="auto"/>
              <w:rPr>
                <w:szCs w:val="21"/>
                <w:lang w:eastAsia="ko-KR"/>
              </w:rPr>
            </w:pPr>
            <w:r>
              <w:rPr>
                <w:szCs w:val="21"/>
                <w:lang w:eastAsia="ko-KR"/>
              </w:rPr>
              <w:t>One PEI can be configured to indicate up to 4 PO(s) in a PF</w:t>
            </w:r>
          </w:p>
          <w:p w14:paraId="73C6F1C6" w14:textId="77777777" w:rsidR="00FD4B9D" w:rsidRDefault="002B72E7">
            <w:pPr>
              <w:numPr>
                <w:ilvl w:val="2"/>
                <w:numId w:val="8"/>
              </w:numPr>
              <w:spacing w:beforeLines="0" w:before="120" w:afterLines="0" w:after="120" w:line="240" w:lineRule="auto"/>
              <w:rPr>
                <w:szCs w:val="21"/>
                <w:lang w:eastAsia="ko-KR"/>
              </w:rPr>
            </w:pPr>
            <w:r>
              <w:rPr>
                <w:rFonts w:eastAsia="DengXian"/>
                <w:szCs w:val="21"/>
              </w:rPr>
              <w:t>FFS whether to supporting map PEI to 3 POs in a PF</w:t>
            </w:r>
          </w:p>
          <w:p w14:paraId="32363D1B" w14:textId="77777777" w:rsidR="00FD4B9D" w:rsidRDefault="002B72E7">
            <w:pPr>
              <w:numPr>
                <w:ilvl w:val="1"/>
                <w:numId w:val="8"/>
              </w:numPr>
              <w:spacing w:beforeLines="0" w:before="120" w:afterLines="0" w:after="120" w:line="240" w:lineRule="auto"/>
              <w:rPr>
                <w:szCs w:val="21"/>
                <w:lang w:eastAsia="ko-KR"/>
              </w:rPr>
            </w:pPr>
            <w:r>
              <w:rPr>
                <w:szCs w:val="21"/>
                <w:lang w:eastAsia="ko-KR"/>
              </w:rPr>
              <w:t>FFS: 1 PEI for POs across multiple PFs</w:t>
            </w:r>
            <w:r>
              <w:rPr>
                <w:rFonts w:hint="eastAsia"/>
                <w:szCs w:val="21"/>
              </w:rPr>
              <w:t xml:space="preserve"> </w:t>
            </w:r>
          </w:p>
          <w:p w14:paraId="65D2F82B" w14:textId="77777777" w:rsidR="00FD4B9D" w:rsidRDefault="002B72E7">
            <w:pPr>
              <w:numPr>
                <w:ilvl w:val="1"/>
                <w:numId w:val="8"/>
              </w:numPr>
              <w:spacing w:beforeLines="0" w:before="120" w:afterLines="0" w:after="120" w:line="240" w:lineRule="auto"/>
              <w:rPr>
                <w:szCs w:val="21"/>
              </w:rPr>
            </w:pPr>
            <w:r>
              <w:rPr>
                <w:rFonts w:eastAsia="DengXian" w:hint="eastAsia"/>
                <w:szCs w:val="21"/>
              </w:rPr>
              <w:t>F</w:t>
            </w:r>
            <w:r>
              <w:rPr>
                <w:rFonts w:eastAsia="DengXian"/>
                <w:szCs w:val="21"/>
              </w:rPr>
              <w:t>FS: value of x</w:t>
            </w:r>
          </w:p>
        </w:tc>
      </w:tr>
    </w:tbl>
    <w:p w14:paraId="0BB18404" w14:textId="77777777" w:rsidR="00FD4B9D" w:rsidRDefault="00FD4B9D">
      <w:pPr>
        <w:spacing w:before="120" w:after="120"/>
      </w:pPr>
    </w:p>
    <w:p w14:paraId="34223803" w14:textId="599A51FA" w:rsidR="00FD4B9D" w:rsidRDefault="002B72E7">
      <w:pPr>
        <w:spacing w:before="120" w:after="120"/>
        <w:rPr>
          <w:szCs w:val="21"/>
        </w:rPr>
      </w:pPr>
      <w:r>
        <w:rPr>
          <w:szCs w:val="21"/>
        </w:rPr>
        <w:t>The number of POs in one DRX cycle is determined</w:t>
      </w:r>
      <w:r>
        <w:rPr>
          <w:rFonts w:hint="eastAsia"/>
          <w:szCs w:val="21"/>
        </w:rPr>
        <w:t xml:space="preserve"> by the number of PFs and the number of POs in one PF. For different configuration</w:t>
      </w:r>
      <w:r>
        <w:rPr>
          <w:szCs w:val="21"/>
        </w:rPr>
        <w:t>s</w:t>
      </w:r>
      <w:r>
        <w:rPr>
          <w:rFonts w:hint="eastAsia"/>
          <w:szCs w:val="21"/>
        </w:rPr>
        <w:t>, the optimal PEI indication method</w:t>
      </w:r>
      <w:r>
        <w:rPr>
          <w:szCs w:val="21"/>
        </w:rPr>
        <w:t>s</w:t>
      </w:r>
      <w:r>
        <w:rPr>
          <w:rFonts w:hint="eastAsia"/>
          <w:szCs w:val="21"/>
        </w:rPr>
        <w:t xml:space="preserve"> </w:t>
      </w:r>
      <w:r>
        <w:rPr>
          <w:szCs w:val="21"/>
        </w:rPr>
        <w:t>are</w:t>
      </w:r>
      <w:r>
        <w:rPr>
          <w:rFonts w:hint="eastAsia"/>
          <w:szCs w:val="21"/>
        </w:rPr>
        <w:t xml:space="preserve"> different. For example, when </w:t>
      </w:r>
      <w:r>
        <w:rPr>
          <w:szCs w:val="21"/>
        </w:rPr>
        <w:t>a</w:t>
      </w:r>
      <w:r>
        <w:rPr>
          <w:rFonts w:hint="eastAsia"/>
          <w:szCs w:val="21"/>
        </w:rPr>
        <w:t xml:space="preserve"> PO density in a DRX cycle is high, </w:t>
      </w:r>
      <w:r>
        <w:rPr>
          <w:szCs w:val="21"/>
        </w:rPr>
        <w:t xml:space="preserve">the mechanism that </w:t>
      </w:r>
      <w:r>
        <w:rPr>
          <w:rFonts w:hint="eastAsia"/>
          <w:szCs w:val="21"/>
        </w:rPr>
        <w:t xml:space="preserve">one PEI indicates the operation of multiple POs can </w:t>
      </w:r>
      <w:r>
        <w:rPr>
          <w:szCs w:val="21"/>
        </w:rPr>
        <w:t xml:space="preserve">significantly </w:t>
      </w:r>
      <w:r>
        <w:rPr>
          <w:rFonts w:hint="eastAsia"/>
          <w:szCs w:val="21"/>
        </w:rPr>
        <w:t xml:space="preserve">reduce the resource overhead without </w:t>
      </w:r>
      <w:r>
        <w:rPr>
          <w:szCs w:val="21"/>
        </w:rPr>
        <w:t>loss of</w:t>
      </w:r>
      <w:r>
        <w:rPr>
          <w:rFonts w:hint="eastAsia"/>
          <w:szCs w:val="21"/>
        </w:rPr>
        <w:t xml:space="preserve"> power saving gain. When the PO density in a DRX cycle is small, one PEI associat</w:t>
      </w:r>
      <w:r>
        <w:rPr>
          <w:szCs w:val="21"/>
        </w:rPr>
        <w:t>ed</w:t>
      </w:r>
      <w:r>
        <w:rPr>
          <w:rFonts w:hint="eastAsia"/>
          <w:szCs w:val="21"/>
        </w:rPr>
        <w:t xml:space="preserve"> with a small number of POs</w:t>
      </w:r>
      <w:r>
        <w:rPr>
          <w:szCs w:val="21"/>
        </w:rPr>
        <w:t xml:space="preserve"> doesn’t increase</w:t>
      </w:r>
      <w:r>
        <w:rPr>
          <w:rFonts w:hint="eastAsia"/>
          <w:szCs w:val="21"/>
        </w:rPr>
        <w:t xml:space="preserve"> resource overhead. Therefore,</w:t>
      </w:r>
      <w:r>
        <w:rPr>
          <w:szCs w:val="21"/>
        </w:rPr>
        <w:t xml:space="preserve"> the number of POs </w:t>
      </w:r>
      <w:r>
        <w:rPr>
          <w:rFonts w:hint="eastAsia"/>
          <w:szCs w:val="21"/>
        </w:rPr>
        <w:t>associated with one PEI</w:t>
      </w:r>
      <w:r>
        <w:rPr>
          <w:szCs w:val="21"/>
        </w:rPr>
        <w:t xml:space="preserve"> should be configured by network to adapt to different deployment scenarios</w:t>
      </w:r>
      <w:r>
        <w:rPr>
          <w:rFonts w:hint="eastAsia"/>
          <w:szCs w:val="21"/>
        </w:rPr>
        <w:t>.</w:t>
      </w:r>
      <w:r>
        <w:rPr>
          <w:szCs w:val="21"/>
        </w:rPr>
        <w:t xml:space="preserve"> </w:t>
      </w:r>
      <w:r>
        <w:rPr>
          <w:rFonts w:hint="eastAsia"/>
          <w:szCs w:val="21"/>
        </w:rPr>
        <w:t>I</w:t>
      </w:r>
      <w:r>
        <w:rPr>
          <w:szCs w:val="21"/>
        </w:rPr>
        <w:t>t is not necessary</w:t>
      </w:r>
      <w:r>
        <w:rPr>
          <w:rFonts w:hint="eastAsia"/>
          <w:szCs w:val="21"/>
        </w:rPr>
        <w:t xml:space="preserve"> to restrict the number of POs indicated by one PEI</w:t>
      </w:r>
      <w:r>
        <w:rPr>
          <w:szCs w:val="21"/>
        </w:rPr>
        <w:t>.</w:t>
      </w:r>
      <w:r>
        <w:rPr>
          <w:rFonts w:hint="eastAsia"/>
          <w:szCs w:val="21"/>
        </w:rPr>
        <w:t xml:space="preserve"> From this perspective, one PEI configured to indicate POs across multiple PFs should be supported.</w:t>
      </w:r>
      <w:r>
        <w:rPr>
          <w:rFonts w:hint="eastAsia"/>
        </w:rPr>
        <w:t xml:space="preserve">  </w:t>
      </w:r>
      <w:r>
        <w:rPr>
          <w:rFonts w:hint="eastAsia"/>
          <w:szCs w:val="21"/>
        </w:rPr>
        <w:t xml:space="preserve"> </w:t>
      </w:r>
    </w:p>
    <w:p w14:paraId="1FCBAB86" w14:textId="77777777" w:rsidR="00FD4B9D" w:rsidRDefault="002B72E7">
      <w:pPr>
        <w:pStyle w:val="YJ-Proposal"/>
        <w:spacing w:before="120" w:after="120"/>
        <w:jc w:val="both"/>
        <w:rPr>
          <w:szCs w:val="21"/>
          <w:lang w:val="en-US" w:eastAsia="zh-CN"/>
        </w:rPr>
      </w:pPr>
      <w:bookmarkStart w:id="2" w:name="_Toc19332"/>
      <w:bookmarkStart w:id="3" w:name="_Toc86840263"/>
      <w:bookmarkStart w:id="4" w:name="_Toc87031834"/>
      <w:r>
        <w:rPr>
          <w:rFonts w:eastAsia="宋体"/>
          <w:i w:val="0"/>
          <w:iCs w:val="0"/>
          <w:sz w:val="21"/>
          <w:szCs w:val="21"/>
          <w:lang w:val="en-US" w:eastAsia="zh-CN"/>
        </w:rPr>
        <w:t>O</w:t>
      </w:r>
      <w:r>
        <w:rPr>
          <w:rFonts w:eastAsia="宋体" w:hint="eastAsia"/>
          <w:i w:val="0"/>
          <w:iCs w:val="0"/>
          <w:sz w:val="21"/>
          <w:szCs w:val="21"/>
          <w:lang w:val="en-US" w:eastAsia="zh-CN"/>
        </w:rPr>
        <w:t>ne PEI configured to indicate POs across multiple PFs</w:t>
      </w:r>
      <w:r>
        <w:rPr>
          <w:rFonts w:eastAsia="宋体"/>
          <w:i w:val="0"/>
          <w:iCs w:val="0"/>
          <w:sz w:val="21"/>
          <w:szCs w:val="21"/>
          <w:lang w:val="en-US" w:eastAsia="zh-CN"/>
        </w:rPr>
        <w:t xml:space="preserve"> should be supported</w:t>
      </w:r>
      <w:r>
        <w:rPr>
          <w:rFonts w:eastAsia="宋体" w:hint="eastAsia"/>
          <w:i w:val="0"/>
          <w:iCs w:val="0"/>
          <w:sz w:val="21"/>
          <w:szCs w:val="21"/>
          <w:lang w:val="en-US" w:eastAsia="zh-CN"/>
        </w:rPr>
        <w:t>.</w:t>
      </w:r>
      <w:bookmarkEnd w:id="2"/>
      <w:bookmarkEnd w:id="3"/>
      <w:bookmarkEnd w:id="4"/>
    </w:p>
    <w:p w14:paraId="638004C0" w14:textId="77777777" w:rsidR="00FD4B9D" w:rsidRDefault="00FD4B9D">
      <w:pPr>
        <w:spacing w:before="120" w:after="120" w:line="260" w:lineRule="auto"/>
      </w:pPr>
    </w:p>
    <w:p w14:paraId="4143281F" w14:textId="77777777" w:rsidR="00FD4B9D" w:rsidRDefault="002B72E7">
      <w:pPr>
        <w:numPr>
          <w:ilvl w:val="0"/>
          <w:numId w:val="12"/>
        </w:numPr>
        <w:spacing w:before="120" w:after="120" w:line="260" w:lineRule="auto"/>
        <w:rPr>
          <w:b/>
          <w:bCs/>
        </w:rPr>
      </w:pPr>
      <w:r>
        <w:rPr>
          <w:rFonts w:hint="eastAsia"/>
          <w:b/>
          <w:bCs/>
        </w:rPr>
        <w:t>TRS availability indication</w:t>
      </w:r>
    </w:p>
    <w:p w14:paraId="4866F618" w14:textId="77777777" w:rsidR="00FD4B9D" w:rsidRDefault="002B72E7">
      <w:pPr>
        <w:spacing w:before="120" w:after="120" w:line="260" w:lineRule="auto"/>
      </w:pPr>
      <w:r>
        <w:rPr>
          <w:rFonts w:hint="eastAsia"/>
        </w:rPr>
        <w:t xml:space="preserve">In 3GPP TSG RAN1#105-e meeting [2], the agreement was reached as follows. </w:t>
      </w:r>
    </w:p>
    <w:tbl>
      <w:tblPr>
        <w:tblStyle w:val="ac"/>
        <w:tblW w:w="0" w:type="auto"/>
        <w:jc w:val="center"/>
        <w:tblLook w:val="04A0" w:firstRow="1" w:lastRow="0" w:firstColumn="1" w:lastColumn="0" w:noHBand="0" w:noVBand="1"/>
      </w:tblPr>
      <w:tblGrid>
        <w:gridCol w:w="9650"/>
      </w:tblGrid>
      <w:tr w:rsidR="00FD4B9D" w14:paraId="3DAE72FF" w14:textId="77777777">
        <w:trPr>
          <w:trHeight w:val="539"/>
          <w:jc w:val="center"/>
        </w:trPr>
        <w:tc>
          <w:tcPr>
            <w:tcW w:w="9660" w:type="dxa"/>
          </w:tcPr>
          <w:p w14:paraId="30FBBF7A" w14:textId="77777777" w:rsidR="00FD4B9D" w:rsidRDefault="002B72E7">
            <w:pPr>
              <w:spacing w:before="120" w:after="120"/>
              <w:rPr>
                <w:highlight w:val="green"/>
              </w:rPr>
            </w:pPr>
            <w:r>
              <w:rPr>
                <w:highlight w:val="green"/>
              </w:rPr>
              <w:t>Agreement:</w:t>
            </w:r>
          </w:p>
          <w:p w14:paraId="44ED6D1B" w14:textId="77777777" w:rsidR="00FD4B9D" w:rsidRDefault="002B72E7">
            <w:pPr>
              <w:snapToGrid w:val="0"/>
              <w:spacing w:before="120" w:after="120"/>
            </w:pPr>
            <w:r>
              <w:t>Confirm the following working assumption:</w:t>
            </w:r>
          </w:p>
          <w:p w14:paraId="637F9114" w14:textId="77777777" w:rsidR="00FD4B9D" w:rsidRDefault="002B72E7">
            <w:pPr>
              <w:snapToGrid w:val="0"/>
              <w:spacing w:before="120" w:after="120"/>
              <w:ind w:left="360"/>
            </w:pPr>
            <w:r>
              <w:rPr>
                <w:rFonts w:cs="Times"/>
              </w:rPr>
              <w:t>Support at least L1 based signaling for the availability indication of TRS/CSI-RS at the configured occasion(s) to the idle/inactive UEs.</w:t>
            </w:r>
          </w:p>
          <w:p w14:paraId="2FED982A" w14:textId="77777777" w:rsidR="00FD4B9D" w:rsidRDefault="002B72E7">
            <w:pPr>
              <w:numPr>
                <w:ilvl w:val="0"/>
                <w:numId w:val="13"/>
              </w:numPr>
              <w:snapToGrid w:val="0"/>
              <w:spacing w:before="120" w:after="120"/>
              <w:ind w:left="1080"/>
              <w:rPr>
                <w:rFonts w:cs="Times"/>
              </w:rPr>
            </w:pPr>
            <w:r>
              <w:rPr>
                <w:rFonts w:cs="Times"/>
              </w:rPr>
              <w:t>FFS details, including paging DCI and/or PEI for L1 based signaling</w:t>
            </w:r>
          </w:p>
          <w:p w14:paraId="48F34C50" w14:textId="77777777" w:rsidR="00FD4B9D" w:rsidRDefault="002B72E7">
            <w:pPr>
              <w:numPr>
                <w:ilvl w:val="0"/>
                <w:numId w:val="13"/>
              </w:numPr>
              <w:snapToGrid w:val="0"/>
              <w:spacing w:before="120" w:after="120"/>
              <w:ind w:left="1080"/>
              <w:rPr>
                <w:rFonts w:cs="Times"/>
              </w:rPr>
            </w:pPr>
            <w:r>
              <w:rPr>
                <w:rFonts w:cs="Times"/>
              </w:rPr>
              <w:t>FFS SIB-based signaling/configuration</w:t>
            </w:r>
          </w:p>
          <w:p w14:paraId="38C376B9" w14:textId="77777777" w:rsidR="00FD4B9D" w:rsidRDefault="002B72E7">
            <w:pPr>
              <w:numPr>
                <w:ilvl w:val="0"/>
                <w:numId w:val="14"/>
              </w:numPr>
              <w:spacing w:before="120" w:after="120" w:line="260" w:lineRule="auto"/>
              <w:ind w:leftChars="500" w:left="1277" w:hanging="227"/>
            </w:pPr>
            <w:r>
              <w:rPr>
                <w:rFonts w:cs="Times"/>
              </w:rPr>
              <w:t>Note: It is RAN1 understanding that existing SI update procedure is used for SIB based signallin</w:t>
            </w:r>
            <w:r>
              <w:rPr>
                <w:rFonts w:cs="Times" w:hint="eastAsia"/>
              </w:rPr>
              <w:t>g</w:t>
            </w:r>
          </w:p>
        </w:tc>
      </w:tr>
    </w:tbl>
    <w:p w14:paraId="687E67AB" w14:textId="77777777" w:rsidR="00FD4B9D" w:rsidRDefault="00FD4B9D">
      <w:pPr>
        <w:spacing w:before="120" w:after="120" w:line="260" w:lineRule="auto"/>
      </w:pPr>
    </w:p>
    <w:p w14:paraId="545BEC74" w14:textId="4F284CF7" w:rsidR="00FD4B9D" w:rsidRDefault="002B72E7">
      <w:pPr>
        <w:spacing w:before="120" w:after="120" w:line="260" w:lineRule="auto"/>
      </w:pPr>
      <w:r>
        <w:rPr>
          <w:rFonts w:hint="eastAsia"/>
        </w:rPr>
        <w:t xml:space="preserve">The periodic TRS configured to RRC connected mode UE can be broadcasted via SIB to assist the RRC idle/inactive state </w:t>
      </w:r>
      <w:r>
        <w:t xml:space="preserve">UE </w:t>
      </w:r>
      <w:r>
        <w:rPr>
          <w:rFonts w:hint="eastAsia"/>
        </w:rPr>
        <w:t xml:space="preserve">to acquire ACG and synchronization. </w:t>
      </w:r>
      <w:r>
        <w:t>For example, i</w:t>
      </w:r>
      <w:r>
        <w:rPr>
          <w:rFonts w:hint="eastAsia"/>
        </w:rPr>
        <w:t>f there is no RRC connected mode UE in the cell, the network has the flexibility to stop transmit</w:t>
      </w:r>
      <w:r>
        <w:t>ting</w:t>
      </w:r>
      <w:r>
        <w:rPr>
          <w:rFonts w:hint="eastAsia"/>
        </w:rPr>
        <w:t xml:space="preserve"> the periodic TRS for RRC idle/inactive UE. The availability indication </w:t>
      </w:r>
      <w:r>
        <w:t>of TRS for</w:t>
      </w:r>
      <w:r>
        <w:rPr>
          <w:rFonts w:hint="eastAsia"/>
        </w:rPr>
        <w:t xml:space="preserve"> RRC idle/inactive UE is </w:t>
      </w:r>
      <w:r>
        <w:t>needed</w:t>
      </w:r>
      <w:r>
        <w:rPr>
          <w:rFonts w:hint="eastAsia"/>
        </w:rPr>
        <w:t xml:space="preserve"> </w:t>
      </w:r>
      <w:r>
        <w:t>for UE</w:t>
      </w:r>
      <w:r>
        <w:rPr>
          <w:rFonts w:hint="eastAsia"/>
        </w:rPr>
        <w:t xml:space="preserve"> power saving. </w:t>
      </w:r>
    </w:p>
    <w:p w14:paraId="658AF61B" w14:textId="77777777" w:rsidR="00FD4B9D" w:rsidRDefault="002B72E7">
      <w:pPr>
        <w:spacing w:before="120" w:after="120" w:line="260" w:lineRule="auto"/>
      </w:pPr>
      <w:r>
        <w:rPr>
          <w:rFonts w:hint="eastAsia"/>
        </w:rPr>
        <w:t xml:space="preserve">For RRC Idle/Inactive state UE, both PEI and paging DCI can be used for TRS </w:t>
      </w:r>
      <w:r>
        <w:rPr>
          <w:rFonts w:cs="Times"/>
        </w:rPr>
        <w:t>availability indication</w:t>
      </w:r>
      <w:r>
        <w:rPr>
          <w:rFonts w:hint="eastAsia"/>
        </w:rPr>
        <w:t xml:space="preserve">. If the availability indication is carried by PEI, UE can skip receiving paging </w:t>
      </w:r>
      <w:r>
        <w:t>PDCCH</w:t>
      </w:r>
      <w:r>
        <w:rPr>
          <w:rFonts w:hint="eastAsia"/>
        </w:rPr>
        <w:t xml:space="preserve"> and paging PDSCH when there is no paging message for the UE</w:t>
      </w:r>
      <w:r>
        <w:t>, which can bring more power saving gain</w:t>
      </w:r>
      <w:r>
        <w:rPr>
          <w:rFonts w:hint="eastAsia"/>
        </w:rPr>
        <w:t>. Therefore, the TRS availability indication conveyed by PEI should be supported.</w:t>
      </w:r>
    </w:p>
    <w:p w14:paraId="1F104D17" w14:textId="77777777" w:rsidR="00FD4B9D" w:rsidRDefault="002B72E7">
      <w:pPr>
        <w:pStyle w:val="YJ-Proposal"/>
        <w:spacing w:before="120" w:after="120"/>
        <w:jc w:val="both"/>
      </w:pPr>
      <w:bookmarkStart w:id="5" w:name="_Toc19601"/>
      <w:bookmarkStart w:id="6" w:name="_Toc86840264"/>
      <w:bookmarkStart w:id="7" w:name="_Toc71707436"/>
      <w:bookmarkStart w:id="8" w:name="_Toc25809"/>
      <w:bookmarkStart w:id="9" w:name="_Toc15724"/>
      <w:bookmarkStart w:id="10" w:name="_Toc16936"/>
      <w:bookmarkStart w:id="11" w:name="_Toc12351"/>
      <w:bookmarkStart w:id="12" w:name="_Toc20522"/>
      <w:bookmarkStart w:id="13" w:name="_Toc25123"/>
      <w:bookmarkStart w:id="14" w:name="_Toc22388"/>
      <w:bookmarkStart w:id="15" w:name="_Toc3073"/>
      <w:bookmarkStart w:id="16" w:name="_Toc14718"/>
      <w:bookmarkStart w:id="17" w:name="_Toc25635"/>
      <w:bookmarkStart w:id="18" w:name="_Toc8943"/>
      <w:bookmarkStart w:id="19" w:name="_Toc4646"/>
      <w:bookmarkStart w:id="20" w:name="_Toc79161258"/>
      <w:bookmarkStart w:id="21" w:name="_Toc68621489"/>
      <w:bookmarkStart w:id="22" w:name="_Toc4231"/>
      <w:bookmarkStart w:id="23" w:name="_Toc87031835"/>
      <w:r>
        <w:rPr>
          <w:rFonts w:hint="eastAsia"/>
          <w:i w:val="0"/>
          <w:iCs w:val="0"/>
          <w:sz w:val="21"/>
          <w:szCs w:val="21"/>
          <w:lang w:val="en-US" w:eastAsia="zh-CN"/>
        </w:rPr>
        <w:t>The TRS availability indication conveyed by PEI should be supported.</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4F6A38AE" w14:textId="77777777" w:rsidR="00FD4B9D" w:rsidRDefault="00FD4B9D">
      <w:pPr>
        <w:spacing w:before="120" w:after="120" w:line="260" w:lineRule="auto"/>
        <w:rPr>
          <w:b/>
          <w:bCs/>
          <w:szCs w:val="21"/>
        </w:rPr>
      </w:pPr>
    </w:p>
    <w:p w14:paraId="390D566F" w14:textId="77777777" w:rsidR="00FD4B9D" w:rsidRDefault="002B72E7">
      <w:pPr>
        <w:numPr>
          <w:ilvl w:val="0"/>
          <w:numId w:val="12"/>
        </w:numPr>
        <w:spacing w:before="120" w:after="120" w:line="260" w:lineRule="auto"/>
        <w:rPr>
          <w:b/>
          <w:bCs/>
          <w:szCs w:val="21"/>
        </w:rPr>
      </w:pPr>
      <w:r>
        <w:rPr>
          <w:rFonts w:hint="eastAsia"/>
          <w:b/>
          <w:bCs/>
          <w:szCs w:val="21"/>
        </w:rPr>
        <w:t>SI change and ETWS information</w:t>
      </w:r>
    </w:p>
    <w:p w14:paraId="4FB9B764" w14:textId="581D7586" w:rsidR="00FD4B9D" w:rsidRDefault="002B72E7">
      <w:pPr>
        <w:spacing w:before="120" w:after="120" w:line="260" w:lineRule="auto"/>
      </w:pPr>
      <w:r>
        <w:rPr>
          <w:rFonts w:hint="eastAsia"/>
        </w:rPr>
        <w:lastRenderedPageBreak/>
        <w:t xml:space="preserve">When </w:t>
      </w:r>
      <w:r>
        <w:t xml:space="preserve">a </w:t>
      </w:r>
      <w:r>
        <w:rPr>
          <w:rFonts w:hint="eastAsia"/>
        </w:rPr>
        <w:t xml:space="preserve">PEI indicates that </w:t>
      </w:r>
      <w:r>
        <w:t xml:space="preserve">there is </w:t>
      </w:r>
      <w:r>
        <w:rPr>
          <w:rFonts w:hint="eastAsia"/>
        </w:rPr>
        <w:t>no paging message</w:t>
      </w:r>
      <w:r>
        <w:t xml:space="preserve"> for a UE</w:t>
      </w:r>
      <w:r>
        <w:rPr>
          <w:rFonts w:hint="eastAsia"/>
        </w:rPr>
        <w:t>, the</w:t>
      </w:r>
      <w:r>
        <w:t xml:space="preserve"> power saving gain comes from the</w:t>
      </w:r>
      <w:r>
        <w:rPr>
          <w:rFonts w:hint="eastAsia"/>
        </w:rPr>
        <w:t xml:space="preserve"> skipping</w:t>
      </w:r>
      <w:r>
        <w:t xml:space="preserve"> of </w:t>
      </w:r>
      <w:r>
        <w:rPr>
          <w:rFonts w:hint="eastAsia"/>
        </w:rPr>
        <w:t xml:space="preserve">PO reception. </w:t>
      </w:r>
      <w:r>
        <w:t>However, beside</w:t>
      </w:r>
      <w:r>
        <w:rPr>
          <w:rFonts w:hint="eastAsia"/>
        </w:rPr>
        <w:t xml:space="preserve"> the scheduling information of paging message,</w:t>
      </w:r>
      <w:r>
        <w:t xml:space="preserve"> the </w:t>
      </w:r>
      <w:r>
        <w:rPr>
          <w:rFonts w:hint="eastAsia"/>
        </w:rPr>
        <w:t xml:space="preserve">paging DCI </w:t>
      </w:r>
      <w:r>
        <w:t xml:space="preserve">also </w:t>
      </w:r>
      <w:r>
        <w:rPr>
          <w:rFonts w:hint="eastAsia"/>
        </w:rPr>
        <w:t xml:space="preserve">carries other </w:t>
      </w:r>
      <w:r>
        <w:t xml:space="preserve">important </w:t>
      </w:r>
      <w:r>
        <w:rPr>
          <w:rFonts w:hint="eastAsia"/>
        </w:rPr>
        <w:t>information</w:t>
      </w:r>
      <w:r>
        <w:t>,</w:t>
      </w:r>
      <w:r>
        <w:rPr>
          <w:rFonts w:hint="eastAsia"/>
        </w:rPr>
        <w:t xml:space="preserve"> such as </w:t>
      </w:r>
      <w:r>
        <w:rPr>
          <w:rFonts w:hint="eastAsia"/>
          <w:i/>
          <w:iCs/>
        </w:rPr>
        <w:t>systemInfoModification</w:t>
      </w:r>
      <w:r>
        <w:rPr>
          <w:rFonts w:hint="eastAsia"/>
        </w:rPr>
        <w:t xml:space="preserve"> and </w:t>
      </w:r>
      <w:r>
        <w:rPr>
          <w:rFonts w:hint="eastAsia"/>
          <w:i/>
          <w:iCs/>
        </w:rPr>
        <w:t>etwsAndCmasIndicatio</w:t>
      </w:r>
      <w:r>
        <w:rPr>
          <w:rFonts w:hint="eastAsia"/>
        </w:rPr>
        <w:t xml:space="preserve">n </w:t>
      </w:r>
      <w:r>
        <w:t xml:space="preserve">which are indicated </w:t>
      </w:r>
      <w:r>
        <w:rPr>
          <w:rFonts w:hint="eastAsia"/>
        </w:rPr>
        <w:t>in short message.</w:t>
      </w:r>
      <w:r>
        <w:t xml:space="preserve"> </w:t>
      </w:r>
      <w:r>
        <w:rPr>
          <w:rFonts w:hint="eastAsia"/>
        </w:rPr>
        <w:t xml:space="preserve">If the PO reception is skipped, the SI change and ETWS information will be omitted, </w:t>
      </w:r>
      <w:r>
        <w:t xml:space="preserve">and the </w:t>
      </w:r>
      <w:r>
        <w:rPr>
          <w:rFonts w:hint="eastAsia"/>
        </w:rPr>
        <w:t>UE</w:t>
      </w:r>
      <w:r>
        <w:t xml:space="preserve"> will miss the information update, which </w:t>
      </w:r>
      <w:r>
        <w:rPr>
          <w:rFonts w:hint="eastAsia"/>
        </w:rPr>
        <w:t>will lead to serious consequences, affect the life rescue, and reduce response time</w:t>
      </w:r>
      <w:r>
        <w:t xml:space="preserve"> for the people in some regions with the relative high probability of earthquake or other emergency disasters</w:t>
      </w:r>
      <w:r>
        <w:rPr>
          <w:rFonts w:hint="eastAsia"/>
        </w:rPr>
        <w:t xml:space="preserve">. If </w:t>
      </w:r>
      <w:r>
        <w:t xml:space="preserve">the </w:t>
      </w:r>
      <w:r>
        <w:rPr>
          <w:rFonts w:hint="eastAsia"/>
        </w:rPr>
        <w:t xml:space="preserve">UE receives paging DCI in each paging cycle to obtain SI change and ETWS information, it will </w:t>
      </w:r>
      <w:r>
        <w:t>decrease</w:t>
      </w:r>
      <w:r>
        <w:rPr>
          <w:rFonts w:hint="eastAsia"/>
        </w:rPr>
        <w:t xml:space="preserve"> the power saving gain. </w:t>
      </w:r>
    </w:p>
    <w:p w14:paraId="22BD53B8" w14:textId="77777777" w:rsidR="00FD4B9D" w:rsidRDefault="002B72E7">
      <w:pPr>
        <w:spacing w:before="120" w:after="120" w:line="260" w:lineRule="auto"/>
      </w:pPr>
      <w:r>
        <w:rPr>
          <w:rFonts w:hint="eastAsia"/>
        </w:rPr>
        <w:t xml:space="preserve">Therefore, PEI </w:t>
      </w:r>
      <w:r>
        <w:t>should</w:t>
      </w:r>
      <w:r>
        <w:rPr>
          <w:rFonts w:hint="eastAsia"/>
        </w:rPr>
        <w:t xml:space="preserve"> be used to indicate SI change and ETWS information to save</w:t>
      </w:r>
      <w:r>
        <w:t xml:space="preserve"> UE</w:t>
      </w:r>
      <w:r>
        <w:rPr>
          <w:rFonts w:hint="eastAsia"/>
        </w:rPr>
        <w:t xml:space="preserve"> power </w:t>
      </w:r>
      <w:r>
        <w:t>consumption</w:t>
      </w:r>
      <w:r>
        <w:rPr>
          <w:rFonts w:hint="eastAsia"/>
        </w:rPr>
        <w:t xml:space="preserve"> without affecting the existing system functions.</w:t>
      </w:r>
    </w:p>
    <w:p w14:paraId="54416BE5" w14:textId="77777777" w:rsidR="00FD4B9D" w:rsidRDefault="002B72E7">
      <w:pPr>
        <w:pStyle w:val="YJ-Proposal"/>
        <w:spacing w:before="120" w:after="120"/>
        <w:rPr>
          <w:i w:val="0"/>
          <w:iCs w:val="0"/>
        </w:rPr>
      </w:pPr>
      <w:bookmarkStart w:id="24" w:name="_Toc23576"/>
      <w:bookmarkStart w:id="25" w:name="_Toc86840265"/>
      <w:bookmarkStart w:id="26" w:name="_Toc87031836"/>
      <w:r>
        <w:rPr>
          <w:rFonts w:hint="eastAsia"/>
          <w:i w:val="0"/>
          <w:iCs w:val="0"/>
        </w:rPr>
        <w:t xml:space="preserve">The </w:t>
      </w:r>
      <w:r>
        <w:rPr>
          <w:rFonts w:hint="eastAsia"/>
          <w:i w:val="0"/>
          <w:iCs w:val="0"/>
          <w:lang w:val="en-US" w:eastAsia="zh-CN"/>
        </w:rPr>
        <w:t>SI change and ETWS</w:t>
      </w:r>
      <w:r>
        <w:rPr>
          <w:rFonts w:hint="eastAsia"/>
          <w:i w:val="0"/>
          <w:iCs w:val="0"/>
        </w:rPr>
        <w:t xml:space="preserve"> information carried by PEI</w:t>
      </w:r>
      <w:r>
        <w:rPr>
          <w:rFonts w:hint="eastAsia"/>
          <w:i w:val="0"/>
          <w:iCs w:val="0"/>
          <w:lang w:val="en-US" w:eastAsia="zh-CN"/>
        </w:rPr>
        <w:t xml:space="preserve"> should be considered.</w:t>
      </w:r>
      <w:bookmarkEnd w:id="24"/>
      <w:bookmarkEnd w:id="25"/>
      <w:bookmarkEnd w:id="26"/>
    </w:p>
    <w:p w14:paraId="3A3DB633" w14:textId="77777777" w:rsidR="00FD4B9D" w:rsidRDefault="00FD4B9D">
      <w:pPr>
        <w:spacing w:before="120" w:after="120"/>
      </w:pPr>
    </w:p>
    <w:p w14:paraId="6C8398C4" w14:textId="77777777" w:rsidR="00FD4B9D" w:rsidRDefault="002B72E7">
      <w:pPr>
        <w:pStyle w:val="2"/>
        <w:spacing w:before="120" w:after="120" w:line="260" w:lineRule="auto"/>
        <w:ind w:left="28" w:right="210"/>
        <w:rPr>
          <w:rFonts w:ascii="Times New Roman" w:hAnsi="Times New Roman"/>
          <w:b/>
          <w:bCs/>
          <w:sz w:val="22"/>
          <w:szCs w:val="22"/>
        </w:rPr>
      </w:pPr>
      <w:r>
        <w:rPr>
          <w:rFonts w:ascii="Times New Roman" w:eastAsia="宋体" w:hAnsi="Times New Roman"/>
          <w:b/>
          <w:bCs/>
          <w:sz w:val="22"/>
          <w:szCs w:val="22"/>
        </w:rPr>
        <w:t>PEI format</w:t>
      </w:r>
    </w:p>
    <w:p w14:paraId="0F889A08" w14:textId="4970C17A" w:rsidR="00FD4B9D" w:rsidRDefault="002B72E7">
      <w:pPr>
        <w:spacing w:before="120" w:after="120"/>
      </w:pPr>
      <w:r>
        <w:rPr>
          <w:rFonts w:hint="eastAsia"/>
        </w:rPr>
        <w:t>The bit field</w:t>
      </w:r>
      <w:r w:rsidR="00AF28E3">
        <w:t>s</w:t>
      </w:r>
      <w:r>
        <w:rPr>
          <w:rFonts w:hint="eastAsia"/>
        </w:rPr>
        <w:t xml:space="preserve"> in PEI and the structure of the DCI format </w:t>
      </w:r>
      <w:r w:rsidR="00CD6102">
        <w:t xml:space="preserve">2-7 </w:t>
      </w:r>
      <w:r>
        <w:rPr>
          <w:rFonts w:hint="eastAsia"/>
        </w:rPr>
        <w:t xml:space="preserve">should be discussed. </w:t>
      </w:r>
    </w:p>
    <w:p w14:paraId="0689DE15" w14:textId="2E0B9AC6" w:rsidR="00FD4B9D" w:rsidRDefault="002B72E7">
      <w:pPr>
        <w:spacing w:before="120" w:after="120"/>
      </w:pPr>
      <w:r>
        <w:rPr>
          <w:rFonts w:hint="eastAsia"/>
        </w:rPr>
        <w:t>For PDCCH-based PEI, different functions, such as paging indication, TRS availability indication and short message, can be indicated by different bit fields. A structure of PEI is shown in Figure 1, TRS availability bit field</w:t>
      </w:r>
      <w:r w:rsidR="00AF28E3">
        <w:t xml:space="preserve"> and </w:t>
      </w:r>
      <w:r>
        <w:rPr>
          <w:rFonts w:hint="eastAsia"/>
        </w:rPr>
        <w:t>short message can be common bit field</w:t>
      </w:r>
      <w:r w:rsidR="00AF28E3">
        <w:t>s</w:t>
      </w:r>
      <w:r>
        <w:rPr>
          <w:rFonts w:hint="eastAsia"/>
        </w:rPr>
        <w:t>,</w:t>
      </w:r>
      <w:r w:rsidR="00AF28E3">
        <w:t xml:space="preserve"> which</w:t>
      </w:r>
      <w:r>
        <w:rPr>
          <w:rFonts w:hint="eastAsia"/>
        </w:rPr>
        <w:t xml:space="preserve"> indicat</w:t>
      </w:r>
      <w:r w:rsidR="00AF28E3">
        <w:t xml:space="preserve">es </w:t>
      </w:r>
      <w:r>
        <w:rPr>
          <w:rFonts w:hint="eastAsia"/>
        </w:rPr>
        <w:t xml:space="preserve">operations of all UEs that receive the PEI. For the paging indication bit field, one bit indicate one UE subgroup of a PO or one UE group/PO. </w:t>
      </w:r>
      <w:r w:rsidR="00D40D01">
        <w:t xml:space="preserve">And the </w:t>
      </w:r>
      <w:r w:rsidR="00D40D01">
        <w:rPr>
          <w:rFonts w:hint="eastAsia"/>
        </w:rPr>
        <w:t>size of the paging indication bit field is determined by the number of POs associated with the PEI and the number of sub-groups in one PO.</w:t>
      </w:r>
    </w:p>
    <w:p w14:paraId="72196F71" w14:textId="533A2DA3" w:rsidR="00FD4B9D" w:rsidRPr="007C5B79" w:rsidRDefault="002B72E7">
      <w:pPr>
        <w:spacing w:before="120" w:after="120" w:line="240" w:lineRule="auto"/>
      </w:pPr>
      <w:r>
        <w:rPr>
          <w:rFonts w:hint="eastAsia"/>
        </w:rPr>
        <w:t xml:space="preserve">To ensure that UE can locate the information carried by PEI accurately, the start and the length of the bit field must be </w:t>
      </w:r>
      <w:r w:rsidR="00AF28E3">
        <w:t>informed</w:t>
      </w:r>
      <w:r>
        <w:rPr>
          <w:rFonts w:hint="eastAsia"/>
        </w:rPr>
        <w:t xml:space="preserve"> to UE</w:t>
      </w:r>
      <w:r w:rsidR="00F469A1">
        <w:t xml:space="preserve"> in an implicit or explicit way</w:t>
      </w:r>
      <w:r>
        <w:rPr>
          <w:rFonts w:hint="eastAsia"/>
        </w:rPr>
        <w:t xml:space="preserve">. </w:t>
      </w:r>
    </w:p>
    <w:p w14:paraId="54D53B82" w14:textId="77777777" w:rsidR="00FD4B9D" w:rsidRDefault="002B72E7">
      <w:pPr>
        <w:spacing w:before="120" w:after="120" w:line="260" w:lineRule="auto"/>
        <w:jc w:val="center"/>
      </w:pPr>
      <w:r>
        <w:rPr>
          <w:noProof/>
        </w:rPr>
        <w:drawing>
          <wp:inline distT="0" distB="0" distL="114300" distR="114300">
            <wp:extent cx="4316730" cy="1356995"/>
            <wp:effectExtent l="0" t="0" r="7620" b="14605"/>
            <wp:docPr id="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
                    <pic:cNvPicPr>
                      <a:picLocks noChangeAspect="1"/>
                    </pic:cNvPicPr>
                  </pic:nvPicPr>
                  <pic:blipFill>
                    <a:blip r:embed="rId9"/>
                    <a:stretch>
                      <a:fillRect/>
                    </a:stretch>
                  </pic:blipFill>
                  <pic:spPr>
                    <a:xfrm>
                      <a:off x="0" y="0"/>
                      <a:ext cx="4316730" cy="1356995"/>
                    </a:xfrm>
                    <a:prstGeom prst="rect">
                      <a:avLst/>
                    </a:prstGeom>
                    <a:noFill/>
                    <a:ln>
                      <a:noFill/>
                    </a:ln>
                  </pic:spPr>
                </pic:pic>
              </a:graphicData>
            </a:graphic>
          </wp:inline>
        </w:drawing>
      </w:r>
    </w:p>
    <w:p w14:paraId="1358D501" w14:textId="79F5B5EE" w:rsidR="00FD4B9D" w:rsidRDefault="002B72E7">
      <w:pPr>
        <w:spacing w:before="120" w:after="120"/>
        <w:jc w:val="center"/>
      </w:pPr>
      <w:r>
        <w:rPr>
          <w:rFonts w:hint="eastAsia"/>
          <w:szCs w:val="21"/>
        </w:rPr>
        <w:t xml:space="preserve">Figure </w:t>
      </w:r>
      <w:r w:rsidR="00D40D01">
        <w:rPr>
          <w:szCs w:val="21"/>
        </w:rPr>
        <w:t>1</w:t>
      </w:r>
      <w:r>
        <w:rPr>
          <w:rFonts w:hint="eastAsia"/>
        </w:rPr>
        <w:t xml:space="preserve"> </w:t>
      </w:r>
      <w:r>
        <w:t>Bit</w:t>
      </w:r>
      <w:r>
        <w:rPr>
          <w:rFonts w:hint="eastAsia"/>
        </w:rPr>
        <w:t xml:space="preserve"> structure of PDCCH</w:t>
      </w:r>
      <w:r>
        <w:t>-</w:t>
      </w:r>
      <w:r>
        <w:rPr>
          <w:rFonts w:hint="eastAsia"/>
        </w:rPr>
        <w:t>based PEI</w:t>
      </w:r>
    </w:p>
    <w:p w14:paraId="51F0349F" w14:textId="77777777" w:rsidR="00FD4B9D" w:rsidRDefault="00FD4B9D">
      <w:pPr>
        <w:spacing w:before="120" w:after="120"/>
        <w:jc w:val="center"/>
      </w:pPr>
    </w:p>
    <w:p w14:paraId="071F8684" w14:textId="625164FE" w:rsidR="00FD4B9D" w:rsidRDefault="002B72E7">
      <w:pPr>
        <w:pStyle w:val="YJ-Proposal"/>
        <w:spacing w:before="120" w:after="120"/>
        <w:rPr>
          <w:i w:val="0"/>
          <w:iCs w:val="0"/>
        </w:rPr>
      </w:pPr>
      <w:bookmarkStart w:id="27" w:name="_Toc87031837"/>
      <w:r>
        <w:rPr>
          <w:rFonts w:hint="eastAsia"/>
          <w:i w:val="0"/>
          <w:iCs w:val="0"/>
          <w:lang w:val="en-US" w:eastAsia="zh-CN"/>
        </w:rPr>
        <w:t xml:space="preserve">A bit structure of PEI in Figure </w:t>
      </w:r>
      <w:r w:rsidR="00D40D01">
        <w:rPr>
          <w:i w:val="0"/>
          <w:iCs w:val="0"/>
          <w:lang w:val="en-US" w:eastAsia="zh-CN"/>
        </w:rPr>
        <w:t>1</w:t>
      </w:r>
      <w:r>
        <w:rPr>
          <w:rFonts w:hint="eastAsia"/>
          <w:i w:val="0"/>
          <w:iCs w:val="0"/>
          <w:lang w:val="en-US" w:eastAsia="zh-CN"/>
        </w:rPr>
        <w:t xml:space="preserve"> can be supported.</w:t>
      </w:r>
      <w:bookmarkEnd w:id="27"/>
    </w:p>
    <w:p w14:paraId="5F7825C1" w14:textId="77777777" w:rsidR="00FD4B9D" w:rsidRDefault="00FD4B9D">
      <w:pPr>
        <w:spacing w:before="120" w:after="120"/>
      </w:pPr>
    </w:p>
    <w:p w14:paraId="1F4D58F9" w14:textId="77777777" w:rsidR="00FD4B9D" w:rsidRDefault="002B72E7">
      <w:pPr>
        <w:pStyle w:val="2"/>
        <w:spacing w:before="120" w:after="120" w:line="260" w:lineRule="auto"/>
        <w:ind w:left="0" w:right="210"/>
        <w:rPr>
          <w:rFonts w:ascii="Times New Roman" w:hAnsi="Times New Roman"/>
          <w:b/>
          <w:bCs/>
          <w:sz w:val="22"/>
          <w:szCs w:val="22"/>
        </w:rPr>
      </w:pPr>
      <w:r>
        <w:rPr>
          <w:rFonts w:ascii="Times New Roman" w:eastAsia="宋体" w:hAnsi="Times New Roman" w:hint="eastAsia"/>
          <w:b/>
          <w:bCs/>
          <w:sz w:val="22"/>
          <w:szCs w:val="22"/>
        </w:rPr>
        <w:t>PEI occasion(s)</w:t>
      </w:r>
    </w:p>
    <w:p w14:paraId="755B0598" w14:textId="77777777" w:rsidR="00FD4B9D" w:rsidRDefault="002B72E7">
      <w:pPr>
        <w:spacing w:before="120" w:after="120"/>
      </w:pPr>
      <w:r>
        <w:rPr>
          <w:rFonts w:hint="eastAsia"/>
          <w:szCs w:val="21"/>
        </w:rPr>
        <w:t xml:space="preserve">In </w:t>
      </w:r>
      <w:r>
        <w:rPr>
          <w:rFonts w:hint="eastAsia"/>
        </w:rPr>
        <w:t xml:space="preserve">3GPP TSG RAN 1#106b-e meeting, three alternatives for the determination of PEI-O location </w:t>
      </w:r>
      <w:r>
        <w:t>were</w:t>
      </w:r>
      <w:r>
        <w:rPr>
          <w:rFonts w:hint="eastAsia"/>
        </w:rPr>
        <w:t xml:space="preserve"> discussed. </w:t>
      </w:r>
    </w:p>
    <w:p w14:paraId="3FF2A0D0" w14:textId="77777777" w:rsidR="00FD4B9D" w:rsidRDefault="002B72E7">
      <w:pPr>
        <w:spacing w:before="120" w:after="120"/>
      </w:pPr>
      <w:r>
        <w:rPr>
          <w:rFonts w:hint="eastAsia"/>
          <w:b/>
          <w:bCs/>
        </w:rPr>
        <w:t xml:space="preserve">Alt 1: </w:t>
      </w:r>
      <w:r>
        <w:rPr>
          <w:rFonts w:hint="eastAsia"/>
        </w:rPr>
        <w:t>The first PDCCH monitoring occasion of the PEI-O is provided w.r.t. the start of a reference frame determined by a frame-level offset to the PF of the target PO.</w:t>
      </w:r>
    </w:p>
    <w:p w14:paraId="5A102A7F" w14:textId="0E2018FF" w:rsidR="00FD4B9D" w:rsidRDefault="002B72E7">
      <w:pPr>
        <w:spacing w:before="120" w:after="120"/>
      </w:pPr>
      <w:r>
        <w:t xml:space="preserve">In </w:t>
      </w:r>
      <w:r>
        <w:rPr>
          <w:rFonts w:hint="eastAsia"/>
        </w:rPr>
        <w:t>Alt 1</w:t>
      </w:r>
      <w:r>
        <w:t>,</w:t>
      </w:r>
      <w:r>
        <w:rPr>
          <w:rFonts w:hint="eastAsia"/>
        </w:rPr>
        <w:t xml:space="preserve"> the radio frame where the PEI is located </w:t>
      </w:r>
      <w:r>
        <w:t>is determined by</w:t>
      </w:r>
      <w:r>
        <w:rPr>
          <w:rFonts w:hint="eastAsia"/>
        </w:rPr>
        <w:t xml:space="preserve"> a frame-level offset. In this way, when a PEI is configured to indicate </w:t>
      </w:r>
      <w:r>
        <w:t xml:space="preserve">paging information for </w:t>
      </w:r>
      <w:r>
        <w:rPr>
          <w:rFonts w:hint="eastAsia"/>
        </w:rPr>
        <w:t>all POs in a PF, only one offset is required to determine the position of the PEI</w:t>
      </w:r>
      <w:r>
        <w:t xml:space="preserve">, which is shown in Figure </w:t>
      </w:r>
      <w:r w:rsidR="00D40D01">
        <w:t>2</w:t>
      </w:r>
      <w:r>
        <w:t>(a)</w:t>
      </w:r>
      <w:r>
        <w:rPr>
          <w:rFonts w:hint="eastAsia"/>
        </w:rPr>
        <w:t xml:space="preserve">. </w:t>
      </w:r>
      <w:r>
        <w:t>However, i</w:t>
      </w:r>
      <w:r>
        <w:rPr>
          <w:rFonts w:hint="eastAsia"/>
        </w:rPr>
        <w:t>n other scenarios</w:t>
      </w:r>
      <w:r w:rsidR="00564D5A">
        <w:t>,</w:t>
      </w:r>
      <w:r>
        <w:rPr>
          <w:rFonts w:hint="eastAsia"/>
        </w:rPr>
        <w:t xml:space="preserve"> </w:t>
      </w:r>
      <w:r>
        <w:t>one PF-specific offset is not sufficient</w:t>
      </w:r>
      <w:r>
        <w:rPr>
          <w:rFonts w:hint="eastAsia"/>
        </w:rPr>
        <w:t>. For example, when there are four POs in a PF and PEI is configured to indicate</w:t>
      </w:r>
      <w:r>
        <w:t xml:space="preserve"> paging information for</w:t>
      </w:r>
      <w:r>
        <w:rPr>
          <w:rFonts w:hint="eastAsia"/>
        </w:rPr>
        <w:t xml:space="preserve"> three POs</w:t>
      </w:r>
      <w:r>
        <w:t xml:space="preserve"> as </w:t>
      </w:r>
      <w:r>
        <w:lastRenderedPageBreak/>
        <w:t>shown in Figure 1(b)</w:t>
      </w:r>
      <w:r>
        <w:rPr>
          <w:rFonts w:hint="eastAsia"/>
        </w:rPr>
        <w:t>, or when there are two POs in a PF and PEI is configured to indicate three POs</w:t>
      </w:r>
      <w:r>
        <w:t xml:space="preserve"> as shown in Figure </w:t>
      </w:r>
      <w:r w:rsidR="00564D5A">
        <w:t>2</w:t>
      </w:r>
      <w:r>
        <w:t>(c)</w:t>
      </w:r>
      <w:r>
        <w:rPr>
          <w:rFonts w:hint="eastAsia"/>
        </w:rPr>
        <w:t xml:space="preserve">, the offset should be configured separately for each PO. In this case, </w:t>
      </w:r>
      <w:r>
        <w:t>the PEI</w:t>
      </w:r>
      <w:r>
        <w:rPr>
          <w:rFonts w:hint="eastAsia"/>
        </w:rPr>
        <w:t xml:space="preserve"> is determined by a</w:t>
      </w:r>
      <w:r>
        <w:t>n</w:t>
      </w:r>
      <w:r>
        <w:rPr>
          <w:rFonts w:hint="eastAsia"/>
        </w:rPr>
        <w:t xml:space="preserve"> offset relative to PO, </w:t>
      </w:r>
      <w:r>
        <w:t>which is</w:t>
      </w:r>
      <w:r>
        <w:rPr>
          <w:rFonts w:hint="eastAsia"/>
        </w:rPr>
        <w:t xml:space="preserve"> </w:t>
      </w:r>
      <w:r>
        <w:t xml:space="preserve">the same as </w:t>
      </w:r>
      <w:r>
        <w:rPr>
          <w:rFonts w:hint="eastAsia"/>
        </w:rPr>
        <w:t>Alt 3.</w:t>
      </w:r>
    </w:p>
    <w:p w14:paraId="393B294C" w14:textId="77777777" w:rsidR="00FD4B9D" w:rsidRDefault="002B72E7">
      <w:pPr>
        <w:spacing w:before="120" w:after="120"/>
      </w:pPr>
      <w:r>
        <w:rPr>
          <w:noProof/>
        </w:rPr>
        <w:drawing>
          <wp:inline distT="0" distB="0" distL="0" distR="0">
            <wp:extent cx="6134100" cy="128333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a:stretch>
                      <a:fillRect/>
                    </a:stretch>
                  </pic:blipFill>
                  <pic:spPr>
                    <a:xfrm>
                      <a:off x="0" y="0"/>
                      <a:ext cx="6134100" cy="1283335"/>
                    </a:xfrm>
                    <a:prstGeom prst="rect">
                      <a:avLst/>
                    </a:prstGeom>
                  </pic:spPr>
                </pic:pic>
              </a:graphicData>
            </a:graphic>
          </wp:inline>
        </w:drawing>
      </w:r>
    </w:p>
    <w:p w14:paraId="2DAC1650" w14:textId="36479F36" w:rsidR="00FD4B9D" w:rsidRDefault="00D40D01" w:rsidP="00AD406E">
      <w:pPr>
        <w:pStyle w:val="af1"/>
        <w:spacing w:before="120" w:after="120"/>
        <w:ind w:left="2694"/>
        <w:rPr>
          <w:szCs w:val="21"/>
        </w:rPr>
      </w:pPr>
      <w:r>
        <w:rPr>
          <w:sz w:val="21"/>
          <w:szCs w:val="21"/>
        </w:rPr>
        <w:t>Figure 2</w:t>
      </w:r>
      <w:r w:rsidR="002B72E7">
        <w:rPr>
          <w:sz w:val="21"/>
          <w:szCs w:val="21"/>
        </w:rPr>
        <w:t>(a) configuration of PEI associated with POs within a PF</w:t>
      </w:r>
    </w:p>
    <w:p w14:paraId="3DE0BC67" w14:textId="77777777" w:rsidR="00FD4B9D" w:rsidRDefault="00FD4B9D">
      <w:pPr>
        <w:spacing w:before="120" w:after="120"/>
        <w:ind w:left="2694"/>
      </w:pPr>
    </w:p>
    <w:p w14:paraId="71A87DE0" w14:textId="77777777" w:rsidR="00FD4B9D" w:rsidRDefault="002B72E7">
      <w:pPr>
        <w:spacing w:before="120" w:after="120"/>
      </w:pPr>
      <w:r>
        <w:rPr>
          <w:noProof/>
        </w:rPr>
        <w:drawing>
          <wp:inline distT="0" distB="0" distL="0" distR="0">
            <wp:extent cx="6134100" cy="1647825"/>
            <wp:effectExtent l="0" t="0" r="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1"/>
                    <a:stretch>
                      <a:fillRect/>
                    </a:stretch>
                  </pic:blipFill>
                  <pic:spPr>
                    <a:xfrm>
                      <a:off x="0" y="0"/>
                      <a:ext cx="6134100" cy="1647825"/>
                    </a:xfrm>
                    <a:prstGeom prst="rect">
                      <a:avLst/>
                    </a:prstGeom>
                  </pic:spPr>
                </pic:pic>
              </a:graphicData>
            </a:graphic>
          </wp:inline>
        </w:drawing>
      </w:r>
    </w:p>
    <w:p w14:paraId="67F1FEFF" w14:textId="7AF444D6" w:rsidR="00FD4B9D" w:rsidRPr="007C5B79" w:rsidRDefault="00D40D01" w:rsidP="00AD406E">
      <w:pPr>
        <w:spacing w:before="120" w:after="120"/>
        <w:ind w:left="2694"/>
        <w:rPr>
          <w:szCs w:val="21"/>
        </w:rPr>
      </w:pPr>
      <w:r>
        <w:rPr>
          <w:szCs w:val="21"/>
        </w:rPr>
        <w:t>Figure 2</w:t>
      </w:r>
      <w:r w:rsidR="002B72E7" w:rsidRPr="007C5B79">
        <w:rPr>
          <w:szCs w:val="21"/>
        </w:rPr>
        <w:t>(b) configuration of PEI associated with POs across PFs</w:t>
      </w:r>
    </w:p>
    <w:p w14:paraId="49D069F5" w14:textId="77777777" w:rsidR="00FD4B9D" w:rsidRDefault="002B72E7">
      <w:pPr>
        <w:spacing w:before="120" w:after="120"/>
      </w:pPr>
      <w:r>
        <w:rPr>
          <w:noProof/>
        </w:rPr>
        <w:drawing>
          <wp:inline distT="0" distB="0" distL="0" distR="0">
            <wp:extent cx="6134100" cy="1407160"/>
            <wp:effectExtent l="0" t="0" r="0"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2"/>
                    <a:stretch>
                      <a:fillRect/>
                    </a:stretch>
                  </pic:blipFill>
                  <pic:spPr>
                    <a:xfrm>
                      <a:off x="0" y="0"/>
                      <a:ext cx="6134100" cy="1407160"/>
                    </a:xfrm>
                    <a:prstGeom prst="rect">
                      <a:avLst/>
                    </a:prstGeom>
                  </pic:spPr>
                </pic:pic>
              </a:graphicData>
            </a:graphic>
          </wp:inline>
        </w:drawing>
      </w:r>
    </w:p>
    <w:p w14:paraId="5B7DB65E" w14:textId="0C642222" w:rsidR="00FD4B9D" w:rsidRPr="007C5B79" w:rsidRDefault="00D40D01" w:rsidP="00AD406E">
      <w:pPr>
        <w:spacing w:before="120" w:after="120"/>
        <w:ind w:left="2694"/>
        <w:rPr>
          <w:szCs w:val="21"/>
        </w:rPr>
      </w:pPr>
      <w:r>
        <w:rPr>
          <w:szCs w:val="21"/>
        </w:rPr>
        <w:t>Figure 2</w:t>
      </w:r>
      <w:r w:rsidR="002B72E7" w:rsidRPr="007C5B79">
        <w:rPr>
          <w:szCs w:val="21"/>
        </w:rPr>
        <w:t>(c) configuration of PEI associated with POs across PFs</w:t>
      </w:r>
    </w:p>
    <w:p w14:paraId="00CA103D" w14:textId="77777777" w:rsidR="00FD4B9D" w:rsidRDefault="002B72E7">
      <w:pPr>
        <w:pStyle w:val="YJ-Observation"/>
        <w:spacing w:before="120" w:after="120"/>
        <w:jc w:val="both"/>
        <w:rPr>
          <w:i w:val="0"/>
          <w:iCs w:val="0"/>
          <w:lang w:val="en-US" w:eastAsia="zh-CN"/>
        </w:rPr>
      </w:pPr>
      <w:bookmarkStart w:id="28" w:name="_Toc86840258"/>
      <w:bookmarkStart w:id="29" w:name="_Toc26157"/>
      <w:bookmarkStart w:id="30" w:name="_Toc87031830"/>
      <w:r>
        <w:rPr>
          <w:rFonts w:hint="eastAsia"/>
          <w:i w:val="0"/>
          <w:iCs w:val="0"/>
          <w:lang w:val="en-US" w:eastAsia="zh-CN"/>
        </w:rPr>
        <w:t xml:space="preserve">In the scenario where the PEI </w:t>
      </w:r>
      <w:r>
        <w:rPr>
          <w:i w:val="0"/>
          <w:iCs w:val="0"/>
          <w:lang w:val="en-US" w:eastAsia="zh-CN"/>
        </w:rPr>
        <w:t xml:space="preserve">is </w:t>
      </w:r>
      <w:r>
        <w:rPr>
          <w:rFonts w:hint="eastAsia"/>
          <w:i w:val="0"/>
          <w:iCs w:val="0"/>
          <w:lang w:val="en-US" w:eastAsia="zh-CN"/>
        </w:rPr>
        <w:t>configured to indicate</w:t>
      </w:r>
      <w:r>
        <w:rPr>
          <w:i w:val="0"/>
          <w:iCs w:val="0"/>
          <w:lang w:val="en-US" w:eastAsia="zh-CN"/>
        </w:rPr>
        <w:t xml:space="preserve"> paging information across</w:t>
      </w:r>
      <w:r>
        <w:rPr>
          <w:rFonts w:hint="eastAsia"/>
          <w:i w:val="0"/>
          <w:iCs w:val="0"/>
          <w:lang w:val="en-US" w:eastAsia="zh-CN"/>
        </w:rPr>
        <w:t xml:space="preserve"> PF</w:t>
      </w:r>
      <w:r>
        <w:rPr>
          <w:i w:val="0"/>
          <w:iCs w:val="0"/>
          <w:lang w:val="en-US" w:eastAsia="zh-CN"/>
        </w:rPr>
        <w:t>s</w:t>
      </w:r>
      <w:r>
        <w:rPr>
          <w:rFonts w:hint="eastAsia"/>
          <w:i w:val="0"/>
          <w:iCs w:val="0"/>
          <w:lang w:val="en-US" w:eastAsia="zh-CN"/>
        </w:rPr>
        <w:t xml:space="preserve">, Alt 1 </w:t>
      </w:r>
      <w:r>
        <w:rPr>
          <w:i w:val="0"/>
          <w:iCs w:val="0"/>
          <w:lang w:val="en-US" w:eastAsia="zh-CN"/>
        </w:rPr>
        <w:t>with one PF-specific offset is not sufficient to determine the PEI occasion</w:t>
      </w:r>
      <w:r>
        <w:rPr>
          <w:rFonts w:hint="eastAsia"/>
          <w:i w:val="0"/>
          <w:iCs w:val="0"/>
          <w:lang w:val="en-US" w:eastAsia="zh-CN"/>
        </w:rPr>
        <w:t>.</w:t>
      </w:r>
      <w:bookmarkEnd w:id="28"/>
      <w:bookmarkEnd w:id="29"/>
      <w:bookmarkEnd w:id="30"/>
    </w:p>
    <w:p w14:paraId="62DDB0B3" w14:textId="77777777" w:rsidR="00FD4B9D" w:rsidRDefault="00FD4B9D">
      <w:pPr>
        <w:spacing w:before="120" w:after="120"/>
        <w:rPr>
          <w:b/>
          <w:bCs/>
        </w:rPr>
      </w:pPr>
    </w:p>
    <w:p w14:paraId="6DD0BA3D" w14:textId="77777777" w:rsidR="00FD4B9D" w:rsidRDefault="002B72E7">
      <w:pPr>
        <w:spacing w:before="120" w:after="120"/>
      </w:pPr>
      <w:r>
        <w:rPr>
          <w:rFonts w:hint="eastAsia"/>
          <w:b/>
          <w:bCs/>
        </w:rPr>
        <w:t xml:space="preserve">Alt 2: </w:t>
      </w:r>
      <w:r>
        <w:rPr>
          <w:rFonts w:hint="eastAsia"/>
        </w:rPr>
        <w:t xml:space="preserve">The first PDCCH monitoring occasion of the PEI-O is provided </w:t>
      </w:r>
      <w:r>
        <w:rPr>
          <w:rFonts w:eastAsia="Microsoft YaHei UI"/>
          <w:color w:val="000000"/>
        </w:rPr>
        <w:t>w.r.t. the </w:t>
      </w:r>
      <w:r>
        <w:rPr>
          <w:rFonts w:eastAsia="Microsoft YaHei UI"/>
          <w:i/>
          <w:iCs/>
          <w:color w:val="000000"/>
        </w:rPr>
        <w:t>L</w:t>
      </w:r>
      <w:r>
        <w:rPr>
          <w:rFonts w:eastAsia="Microsoft YaHei UI"/>
          <w:color w:val="000000"/>
        </w:rPr>
        <w:t>-th SS burst before the first PDCCH monitoring occasion of the target PO.</w:t>
      </w:r>
    </w:p>
    <w:p w14:paraId="7B859B16" w14:textId="3C930012" w:rsidR="00FD4B9D" w:rsidRDefault="002B72E7">
      <w:pPr>
        <w:spacing w:before="120" w:after="120"/>
      </w:pPr>
      <w:r>
        <w:rPr>
          <w:rFonts w:hint="eastAsia"/>
        </w:rPr>
        <w:t xml:space="preserve">Alt 2 uses the L-th SSB before the target PO to determine the PEI-O location. </w:t>
      </w:r>
      <w:r>
        <w:t>However, w</w:t>
      </w:r>
      <w:r>
        <w:rPr>
          <w:rFonts w:hint="eastAsia"/>
        </w:rPr>
        <w:t xml:space="preserve">hen PEI is configured to indicate </w:t>
      </w:r>
      <w:r>
        <w:t xml:space="preserve">paging information for </w:t>
      </w:r>
      <w:r>
        <w:rPr>
          <w:rFonts w:hint="eastAsia"/>
        </w:rPr>
        <w:t xml:space="preserve">multiple POs, especially </w:t>
      </w:r>
      <w:r>
        <w:t>these</w:t>
      </w:r>
      <w:r>
        <w:rPr>
          <w:rFonts w:hint="eastAsia"/>
        </w:rPr>
        <w:t xml:space="preserve"> multiple POs </w:t>
      </w:r>
      <w:r>
        <w:t xml:space="preserve">are located </w:t>
      </w:r>
      <w:r>
        <w:rPr>
          <w:rFonts w:hint="eastAsia"/>
        </w:rPr>
        <w:t xml:space="preserve">across multiple PFs, the L-th SSB before different POs may </w:t>
      </w:r>
      <w:r>
        <w:t xml:space="preserve">not </w:t>
      </w:r>
      <w:r>
        <w:rPr>
          <w:rFonts w:hint="eastAsia"/>
        </w:rPr>
        <w:t>be the same</w:t>
      </w:r>
      <w:r>
        <w:t>, which is</w:t>
      </w:r>
      <w:r>
        <w:rPr>
          <w:rFonts w:hint="eastAsia"/>
        </w:rPr>
        <w:t xml:space="preserve"> </w:t>
      </w:r>
      <w:r>
        <w:t xml:space="preserve">shown in Figure </w:t>
      </w:r>
      <w:r w:rsidR="00564D5A">
        <w:t>3</w:t>
      </w:r>
      <w:r>
        <w:rPr>
          <w:rFonts w:hint="eastAsia"/>
        </w:rPr>
        <w:t xml:space="preserve">. Therefore, the L-th SSB </w:t>
      </w:r>
      <w:r>
        <w:t xml:space="preserve">should be PO-specific in </w:t>
      </w:r>
      <w:r>
        <w:rPr>
          <w:rFonts w:hint="eastAsia"/>
        </w:rPr>
        <w:t xml:space="preserve">the scenario </w:t>
      </w:r>
      <w:r>
        <w:t>when</w:t>
      </w:r>
      <w:r>
        <w:rPr>
          <w:rFonts w:hint="eastAsia"/>
        </w:rPr>
        <w:t xml:space="preserve"> one PEI is configured to</w:t>
      </w:r>
      <w:r>
        <w:t xml:space="preserve"> </w:t>
      </w:r>
      <w:r>
        <w:rPr>
          <w:rFonts w:hint="eastAsia"/>
        </w:rPr>
        <w:t xml:space="preserve">indicate </w:t>
      </w:r>
      <w:r>
        <w:t>paging information for</w:t>
      </w:r>
      <w:r>
        <w:rPr>
          <w:rFonts w:hint="eastAsia"/>
        </w:rPr>
        <w:t xml:space="preserve"> multiple POs</w:t>
      </w:r>
      <w:r>
        <w:t>, which is also the same as Alt3.</w:t>
      </w:r>
    </w:p>
    <w:p w14:paraId="4F9B8E9B" w14:textId="77777777" w:rsidR="00FD4B9D" w:rsidRDefault="002B72E7">
      <w:pPr>
        <w:spacing w:before="120" w:after="120"/>
      </w:pPr>
      <w:r>
        <w:rPr>
          <w:noProof/>
        </w:rPr>
        <w:lastRenderedPageBreak/>
        <w:drawing>
          <wp:inline distT="0" distB="0" distL="0" distR="0">
            <wp:extent cx="6134100" cy="1387475"/>
            <wp:effectExtent l="0" t="0" r="0" b="317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3"/>
                    <a:stretch>
                      <a:fillRect/>
                    </a:stretch>
                  </pic:blipFill>
                  <pic:spPr>
                    <a:xfrm>
                      <a:off x="0" y="0"/>
                      <a:ext cx="6134100" cy="1387475"/>
                    </a:xfrm>
                    <a:prstGeom prst="rect">
                      <a:avLst/>
                    </a:prstGeom>
                  </pic:spPr>
                </pic:pic>
              </a:graphicData>
            </a:graphic>
          </wp:inline>
        </w:drawing>
      </w:r>
    </w:p>
    <w:p w14:paraId="1DBAB4A4" w14:textId="6E767B25" w:rsidR="00FD4B9D" w:rsidRDefault="002B72E7">
      <w:pPr>
        <w:spacing w:before="120" w:after="120"/>
        <w:jc w:val="center"/>
      </w:pPr>
      <w:r>
        <w:t xml:space="preserve">Figure </w:t>
      </w:r>
      <w:r w:rsidR="00564D5A">
        <w:t xml:space="preserve">3 </w:t>
      </w:r>
      <w:r>
        <w:t>configuration of PEI relative to SSB</w:t>
      </w:r>
    </w:p>
    <w:p w14:paraId="1EB0B360" w14:textId="77777777" w:rsidR="00FD4B9D" w:rsidRDefault="00FD4B9D">
      <w:pPr>
        <w:spacing w:before="120" w:after="120"/>
        <w:jc w:val="center"/>
      </w:pPr>
    </w:p>
    <w:p w14:paraId="7BDE1B66" w14:textId="77777777" w:rsidR="00FD4B9D" w:rsidRDefault="002B72E7">
      <w:pPr>
        <w:pStyle w:val="YJ-Observation"/>
        <w:spacing w:before="120" w:after="120"/>
        <w:jc w:val="both"/>
        <w:rPr>
          <w:i w:val="0"/>
          <w:iCs w:val="0"/>
          <w:lang w:val="en-US" w:eastAsia="zh-CN"/>
        </w:rPr>
      </w:pPr>
      <w:bookmarkStart w:id="31" w:name="_Toc86840259"/>
      <w:bookmarkStart w:id="32" w:name="_Toc2923"/>
      <w:bookmarkStart w:id="33" w:name="_Toc87031831"/>
      <w:r>
        <w:rPr>
          <w:i w:val="0"/>
          <w:iCs w:val="0"/>
          <w:lang w:val="en-US" w:eastAsia="zh-CN"/>
        </w:rPr>
        <w:t xml:space="preserve">For </w:t>
      </w:r>
      <w:r>
        <w:rPr>
          <w:rFonts w:hint="eastAsia"/>
          <w:i w:val="0"/>
          <w:iCs w:val="0"/>
          <w:lang w:val="en-US" w:eastAsia="zh-CN"/>
        </w:rPr>
        <w:t>Alt 2</w:t>
      </w:r>
      <w:r>
        <w:rPr>
          <w:i w:val="0"/>
          <w:iCs w:val="0"/>
          <w:lang w:val="en-US" w:eastAsia="zh-CN"/>
        </w:rPr>
        <w:t xml:space="preserve">, </w:t>
      </w:r>
      <w:r>
        <w:rPr>
          <w:i w:val="0"/>
        </w:rPr>
        <w:t>the L-th SSB should be PO-specific in the scenario when one PEI is configured to indicate paging information for multiple POs</w:t>
      </w:r>
      <w:bookmarkEnd w:id="31"/>
      <w:bookmarkEnd w:id="32"/>
      <w:bookmarkEnd w:id="33"/>
    </w:p>
    <w:p w14:paraId="12CE1ABC" w14:textId="77777777" w:rsidR="00FD4B9D" w:rsidRDefault="002B72E7">
      <w:pPr>
        <w:spacing w:before="120" w:after="120"/>
      </w:pPr>
      <w:r>
        <w:t>The intention of configuration of PEI relative to SSB is to reduce UE wake-up times of processing SSB and PEIs. However</w:t>
      </w:r>
      <w:r>
        <w:rPr>
          <w:rFonts w:hint="eastAsia"/>
        </w:rPr>
        <w:t xml:space="preserve">, the number of SSBs before POs processed by the UE depends on UE implementation. The gNB cannot ensure UE processes the L-th SSB before PO. If UE does not process the SSB, the PEI-O location determined by the L-th SSB before the target PO cannot </w:t>
      </w:r>
      <w:r>
        <w:t>reduce</w:t>
      </w:r>
      <w:r>
        <w:rPr>
          <w:rFonts w:hint="eastAsia"/>
        </w:rPr>
        <w:t xml:space="preserve"> the additional power consumption of the ramp up/ramp down.</w:t>
      </w:r>
    </w:p>
    <w:p w14:paraId="07E44962" w14:textId="20335E97" w:rsidR="00FD4B9D" w:rsidRDefault="00564D5A">
      <w:pPr>
        <w:spacing w:before="120" w:after="120"/>
      </w:pPr>
      <w:r>
        <w:t>It</w:t>
      </w:r>
      <w:r w:rsidR="002B72E7">
        <w:t xml:space="preserve"> was agreed that</w:t>
      </w:r>
      <w:r w:rsidR="002B72E7">
        <w:rPr>
          <w:rFonts w:hint="eastAsia"/>
        </w:rPr>
        <w:t xml:space="preserve"> </w:t>
      </w:r>
      <w:r w:rsidR="002B72E7">
        <w:t>a new search space set of</w:t>
      </w:r>
      <w:r w:rsidR="002B72E7">
        <w:rPr>
          <w:rFonts w:hint="eastAsia"/>
        </w:rPr>
        <w:t xml:space="preserve"> </w:t>
      </w:r>
      <w:r w:rsidR="002B72E7">
        <w:rPr>
          <w:rFonts w:hint="eastAsia"/>
          <w:i/>
          <w:iCs/>
        </w:rPr>
        <w:t>peiSearchSpace</w:t>
      </w:r>
      <w:r w:rsidR="002B72E7">
        <w:rPr>
          <w:rFonts w:hint="eastAsia"/>
        </w:rPr>
        <w:t xml:space="preserve"> </w:t>
      </w:r>
      <w:r w:rsidR="002B72E7">
        <w:t>was introduced for PEI</w:t>
      </w:r>
      <w:r w:rsidR="002B72E7">
        <w:rPr>
          <w:rFonts w:hint="eastAsia"/>
        </w:rPr>
        <w:t xml:space="preserve"> </w:t>
      </w:r>
      <w:r w:rsidR="002B72E7">
        <w:t>in</w:t>
      </w:r>
      <w:r w:rsidR="002B72E7">
        <w:rPr>
          <w:rFonts w:hint="eastAsia"/>
        </w:rPr>
        <w:t xml:space="preserve"> RAN1#106b-e meeting.</w:t>
      </w:r>
      <w:r w:rsidR="002B72E7">
        <w:t xml:space="preserve"> </w:t>
      </w:r>
      <w:r>
        <w:t>In addition, we think</w:t>
      </w:r>
      <w:r w:rsidR="002B72E7">
        <w:rPr>
          <w:rFonts w:hint="eastAsia"/>
        </w:rPr>
        <w:t xml:space="preserve"> </w:t>
      </w:r>
      <w:r w:rsidR="002B72E7">
        <w:t>the legacy</w:t>
      </w:r>
      <w:r w:rsidR="002B72E7">
        <w:rPr>
          <w:rFonts w:hint="eastAsia"/>
        </w:rPr>
        <w:t xml:space="preserve"> </w:t>
      </w:r>
      <w:r w:rsidR="002B72E7">
        <w:rPr>
          <w:rFonts w:hint="eastAsia"/>
          <w:i/>
          <w:iCs/>
        </w:rPr>
        <w:t>pagingSearchSpace</w:t>
      </w:r>
      <w:r w:rsidR="002B72E7">
        <w:rPr>
          <w:rFonts w:hint="eastAsia"/>
        </w:rPr>
        <w:t xml:space="preserve"> </w:t>
      </w:r>
      <w:r w:rsidR="002B72E7">
        <w:t xml:space="preserve">should also be reused for </w:t>
      </w:r>
      <w:r w:rsidR="002B72E7">
        <w:rPr>
          <w:rFonts w:hint="eastAsia"/>
        </w:rPr>
        <w:t>PEI.</w:t>
      </w:r>
      <w:r w:rsidR="002B72E7">
        <w:t xml:space="preserve"> </w:t>
      </w:r>
      <w:r w:rsidR="002B72E7">
        <w:rPr>
          <w:rFonts w:hint="eastAsia"/>
        </w:rPr>
        <w:t xml:space="preserve">If </w:t>
      </w:r>
      <w:r w:rsidR="002B72E7">
        <w:rPr>
          <w:rFonts w:hint="eastAsia"/>
          <w:i/>
          <w:iCs/>
        </w:rPr>
        <w:t>pagingSearchSpace</w:t>
      </w:r>
      <w:r w:rsidR="002B72E7">
        <w:rPr>
          <w:rFonts w:hint="eastAsia"/>
        </w:rPr>
        <w:t xml:space="preserve"> is adopted, the location relationship between the PEI and L-th SSB cannot be guaranteed, and the power saving gain </w:t>
      </w:r>
      <w:r w:rsidR="002B72E7">
        <w:t xml:space="preserve">from determining PEI relative to </w:t>
      </w:r>
      <w:r w:rsidR="002B72E7">
        <w:rPr>
          <w:rFonts w:hint="eastAsia"/>
        </w:rPr>
        <w:t>the SSB cannot be obtained.</w:t>
      </w:r>
    </w:p>
    <w:p w14:paraId="5BDFF916" w14:textId="77777777" w:rsidR="00FD4B9D" w:rsidRDefault="002B72E7">
      <w:pPr>
        <w:pStyle w:val="YJ-Observation"/>
        <w:spacing w:before="120" w:after="120"/>
        <w:jc w:val="both"/>
        <w:rPr>
          <w:i w:val="0"/>
          <w:iCs w:val="0"/>
          <w:lang w:val="en-US" w:eastAsia="zh-CN"/>
        </w:rPr>
      </w:pPr>
      <w:bookmarkStart w:id="34" w:name="_Toc86840260"/>
      <w:bookmarkStart w:id="35" w:name="_Toc24124"/>
      <w:bookmarkStart w:id="36" w:name="_Toc87031832"/>
      <w:r>
        <w:rPr>
          <w:rFonts w:hint="eastAsia"/>
          <w:i w:val="0"/>
          <w:iCs w:val="0"/>
          <w:lang w:val="en-US" w:eastAsia="zh-CN"/>
        </w:rPr>
        <w:t>The PEI-O location determined by the L-th SSB before the target PO may not bring additional power saving gain.</w:t>
      </w:r>
      <w:bookmarkEnd w:id="34"/>
      <w:bookmarkEnd w:id="35"/>
      <w:bookmarkEnd w:id="36"/>
    </w:p>
    <w:p w14:paraId="3A639B95" w14:textId="77777777" w:rsidR="00FD4B9D" w:rsidRDefault="002B72E7">
      <w:pPr>
        <w:spacing w:before="120" w:after="120"/>
      </w:pPr>
      <w:r>
        <w:rPr>
          <w:rFonts w:hint="eastAsia"/>
          <w:b/>
          <w:bCs/>
        </w:rPr>
        <w:t>Alt 3:</w:t>
      </w:r>
      <w:r>
        <w:rPr>
          <w:rFonts w:hint="eastAsia"/>
        </w:rPr>
        <w:t xml:space="preserve"> The first PDCCH monitoring occasion of the PEI-O is provided by a time offset w.r.t. a reference time for the target PO.</w:t>
      </w:r>
    </w:p>
    <w:p w14:paraId="1A546DC3" w14:textId="0E60C6B0" w:rsidR="00FD4B9D" w:rsidRDefault="002B72E7">
      <w:pPr>
        <w:spacing w:before="120" w:after="120"/>
      </w:pPr>
      <w:r>
        <w:t xml:space="preserve">It is most straightforward and robust to determine the PEI </w:t>
      </w:r>
      <w:r>
        <w:rPr>
          <w:rFonts w:hint="eastAsia"/>
        </w:rPr>
        <w:t xml:space="preserve">location </w:t>
      </w:r>
      <w:r>
        <w:t xml:space="preserve">by </w:t>
      </w:r>
      <w:r>
        <w:rPr>
          <w:rFonts w:hint="eastAsia"/>
        </w:rPr>
        <w:t>a</w:t>
      </w:r>
      <w:r>
        <w:t>n</w:t>
      </w:r>
      <w:r>
        <w:rPr>
          <w:rFonts w:hint="eastAsia"/>
        </w:rPr>
        <w:t xml:space="preserve"> </w:t>
      </w:r>
      <w:r>
        <w:t xml:space="preserve">offset relative to </w:t>
      </w:r>
      <w:r>
        <w:rPr>
          <w:rFonts w:hint="eastAsia"/>
        </w:rPr>
        <w:t xml:space="preserve">the target </w:t>
      </w:r>
      <w:r>
        <w:t>PO. According to the previous discussion, it can be seen that no matter what the mapping relationship between PEI and PO is, UEs that monitor different POs can be configured to detect</w:t>
      </w:r>
      <w:r w:rsidR="00265F10">
        <w:t xml:space="preserve"> same</w:t>
      </w:r>
      <w:r>
        <w:t xml:space="preserve"> PEI.</w:t>
      </w:r>
      <w:r>
        <w:rPr>
          <w:rFonts w:hint="eastAsia"/>
        </w:rPr>
        <w:t xml:space="preserve"> </w:t>
      </w:r>
    </w:p>
    <w:p w14:paraId="34038205" w14:textId="77777777" w:rsidR="00FD4B9D" w:rsidRDefault="002B72E7">
      <w:pPr>
        <w:pStyle w:val="YJ-Observation"/>
        <w:spacing w:before="120" w:after="120"/>
        <w:jc w:val="both"/>
        <w:rPr>
          <w:i w:val="0"/>
          <w:iCs w:val="0"/>
          <w:lang w:val="en-US" w:eastAsia="zh-CN"/>
        </w:rPr>
      </w:pPr>
      <w:bookmarkStart w:id="37" w:name="_Toc86840261"/>
      <w:bookmarkStart w:id="38" w:name="_Toc23321"/>
      <w:bookmarkStart w:id="39" w:name="_Toc87031833"/>
      <w:r>
        <w:rPr>
          <w:rFonts w:hint="eastAsia"/>
          <w:i w:val="0"/>
          <w:iCs w:val="0"/>
          <w:lang w:val="en-US" w:eastAsia="zh-CN"/>
        </w:rPr>
        <w:t xml:space="preserve">Alt 3 </w:t>
      </w:r>
      <w:r>
        <w:rPr>
          <w:i w:val="0"/>
          <w:iCs w:val="0"/>
          <w:lang w:val="en-US" w:eastAsia="zh-CN"/>
        </w:rPr>
        <w:t>is the most straightforward and robust to determine the PEI location</w:t>
      </w:r>
      <w:r>
        <w:rPr>
          <w:rFonts w:hint="eastAsia"/>
          <w:i w:val="0"/>
          <w:iCs w:val="0"/>
          <w:lang w:val="en-US" w:eastAsia="zh-CN"/>
        </w:rPr>
        <w:t xml:space="preserve"> </w:t>
      </w:r>
      <w:r>
        <w:rPr>
          <w:i w:val="0"/>
          <w:iCs w:val="0"/>
          <w:lang w:val="en-US" w:eastAsia="zh-CN"/>
        </w:rPr>
        <w:t>in</w:t>
      </w:r>
      <w:r>
        <w:rPr>
          <w:rFonts w:hint="eastAsia"/>
          <w:i w:val="0"/>
          <w:iCs w:val="0"/>
          <w:lang w:val="en-US" w:eastAsia="zh-CN"/>
        </w:rPr>
        <w:t xml:space="preserve"> all scenarios.</w:t>
      </w:r>
      <w:bookmarkEnd w:id="37"/>
      <w:bookmarkEnd w:id="38"/>
      <w:bookmarkEnd w:id="39"/>
    </w:p>
    <w:p w14:paraId="059FCBCB" w14:textId="230576AD" w:rsidR="00FD4B9D" w:rsidRDefault="002B72E7">
      <w:pPr>
        <w:spacing w:before="120" w:after="120"/>
        <w:rPr>
          <w:szCs w:val="21"/>
        </w:rPr>
      </w:pPr>
      <w:r>
        <w:rPr>
          <w:rFonts w:hint="eastAsia"/>
          <w:szCs w:val="21"/>
        </w:rPr>
        <w:t xml:space="preserve">When one PEI is configured to indicate one PO, as shown in Figure </w:t>
      </w:r>
      <w:r w:rsidR="00B27FD4">
        <w:rPr>
          <w:szCs w:val="21"/>
        </w:rPr>
        <w:t>4</w:t>
      </w:r>
      <w:r w:rsidR="00B27FD4">
        <w:rPr>
          <w:rFonts w:hint="eastAsia"/>
          <w:szCs w:val="21"/>
        </w:rPr>
        <w:t xml:space="preserve"> </w:t>
      </w:r>
      <w:r>
        <w:rPr>
          <w:rFonts w:hint="eastAsia"/>
          <w:szCs w:val="21"/>
        </w:rPr>
        <w:t>(a), the offset between different POs and the</w:t>
      </w:r>
      <w:r>
        <w:rPr>
          <w:szCs w:val="21"/>
        </w:rPr>
        <w:t xml:space="preserve"> corresponding</w:t>
      </w:r>
      <w:r>
        <w:rPr>
          <w:rFonts w:hint="eastAsia"/>
          <w:szCs w:val="21"/>
        </w:rPr>
        <w:t xml:space="preserve"> PEI may be the same. When one PEI is associated with multiple POs </w:t>
      </w:r>
      <w:r>
        <w:rPr>
          <w:szCs w:val="21"/>
        </w:rPr>
        <w:t xml:space="preserve">as </w:t>
      </w:r>
      <w:r>
        <w:rPr>
          <w:rFonts w:hint="eastAsia"/>
          <w:szCs w:val="21"/>
        </w:rPr>
        <w:t xml:space="preserve">shown in Figure </w:t>
      </w:r>
      <w:r w:rsidR="00B27FD4">
        <w:rPr>
          <w:szCs w:val="21"/>
        </w:rPr>
        <w:t>4</w:t>
      </w:r>
      <w:r>
        <w:rPr>
          <w:rFonts w:hint="eastAsia"/>
          <w:szCs w:val="21"/>
        </w:rPr>
        <w:t>(b), each PO should correspond to a</w:t>
      </w:r>
      <w:r>
        <w:rPr>
          <w:szCs w:val="21"/>
        </w:rPr>
        <w:t xml:space="preserve"> separate </w:t>
      </w:r>
      <w:r>
        <w:rPr>
          <w:rFonts w:hint="eastAsia"/>
          <w:szCs w:val="21"/>
        </w:rPr>
        <w:t xml:space="preserve">offset to ensure that the PEI location </w:t>
      </w:r>
      <w:r>
        <w:rPr>
          <w:szCs w:val="21"/>
        </w:rPr>
        <w:t>is</w:t>
      </w:r>
      <w:r>
        <w:rPr>
          <w:rFonts w:hint="eastAsia"/>
          <w:szCs w:val="21"/>
        </w:rPr>
        <w:t xml:space="preserve"> same </w:t>
      </w:r>
      <w:r>
        <w:rPr>
          <w:szCs w:val="21"/>
        </w:rPr>
        <w:t>for UEs monitoring different POs</w:t>
      </w:r>
      <w:r>
        <w:rPr>
          <w:rFonts w:hint="eastAsia"/>
          <w:szCs w:val="21"/>
        </w:rPr>
        <w:t xml:space="preserve">, so that </w:t>
      </w:r>
      <w:r>
        <w:rPr>
          <w:szCs w:val="21"/>
        </w:rPr>
        <w:t>these</w:t>
      </w:r>
      <w:r>
        <w:rPr>
          <w:rFonts w:hint="eastAsia"/>
          <w:szCs w:val="21"/>
        </w:rPr>
        <w:t xml:space="preserve"> </w:t>
      </w:r>
      <w:r>
        <w:rPr>
          <w:szCs w:val="21"/>
        </w:rPr>
        <w:t>UEs</w:t>
      </w:r>
      <w:r>
        <w:rPr>
          <w:rFonts w:hint="eastAsia"/>
          <w:szCs w:val="21"/>
        </w:rPr>
        <w:t xml:space="preserve"> </w:t>
      </w:r>
      <w:r>
        <w:rPr>
          <w:szCs w:val="21"/>
        </w:rPr>
        <w:t>will</w:t>
      </w:r>
      <w:r>
        <w:rPr>
          <w:rFonts w:hint="eastAsia"/>
          <w:szCs w:val="21"/>
        </w:rPr>
        <w:t xml:space="preserve"> monitor the same PEI. </w:t>
      </w:r>
    </w:p>
    <w:p w14:paraId="5E59D348" w14:textId="77777777" w:rsidR="00FD4B9D" w:rsidRDefault="002B72E7">
      <w:pPr>
        <w:spacing w:before="120" w:after="120"/>
        <w:jc w:val="center"/>
      </w:pPr>
      <w:r>
        <w:rPr>
          <w:noProof/>
        </w:rPr>
        <w:drawing>
          <wp:inline distT="0" distB="0" distL="114300" distR="114300">
            <wp:extent cx="3888740" cy="1517650"/>
            <wp:effectExtent l="0" t="0" r="16510" b="635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4"/>
                    <a:stretch>
                      <a:fillRect/>
                    </a:stretch>
                  </pic:blipFill>
                  <pic:spPr>
                    <a:xfrm>
                      <a:off x="0" y="0"/>
                      <a:ext cx="3888740" cy="1517650"/>
                    </a:xfrm>
                    <a:prstGeom prst="rect">
                      <a:avLst/>
                    </a:prstGeom>
                    <a:noFill/>
                    <a:ln>
                      <a:noFill/>
                    </a:ln>
                  </pic:spPr>
                </pic:pic>
              </a:graphicData>
            </a:graphic>
          </wp:inline>
        </w:drawing>
      </w:r>
    </w:p>
    <w:p w14:paraId="370B5543" w14:textId="46A4D82D" w:rsidR="00FD4B9D" w:rsidRDefault="002B72E7">
      <w:pPr>
        <w:numPr>
          <w:ilvl w:val="255"/>
          <w:numId w:val="0"/>
        </w:numPr>
        <w:spacing w:before="120" w:after="120"/>
        <w:jc w:val="center"/>
      </w:pPr>
      <w:r>
        <w:rPr>
          <w:rFonts w:hint="eastAsia"/>
        </w:rPr>
        <w:t xml:space="preserve">Figure </w:t>
      </w:r>
      <w:r w:rsidR="00B27FD4">
        <w:t>4</w:t>
      </w:r>
      <w:r>
        <w:rPr>
          <w:rFonts w:hint="eastAsia"/>
        </w:rPr>
        <w:t>(a) Configuration of PEI associated with one PO</w:t>
      </w:r>
    </w:p>
    <w:p w14:paraId="48D2B897" w14:textId="77777777" w:rsidR="00FD4B9D" w:rsidRDefault="002B72E7">
      <w:pPr>
        <w:spacing w:before="120" w:after="120"/>
        <w:jc w:val="center"/>
      </w:pPr>
      <w:r>
        <w:rPr>
          <w:noProof/>
        </w:rPr>
        <w:lastRenderedPageBreak/>
        <w:drawing>
          <wp:inline distT="0" distB="0" distL="114300" distR="114300">
            <wp:extent cx="3867150" cy="1493520"/>
            <wp:effectExtent l="0" t="0" r="0" b="1143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5"/>
                    <a:stretch>
                      <a:fillRect/>
                    </a:stretch>
                  </pic:blipFill>
                  <pic:spPr>
                    <a:xfrm>
                      <a:off x="0" y="0"/>
                      <a:ext cx="3867150" cy="1493520"/>
                    </a:xfrm>
                    <a:prstGeom prst="rect">
                      <a:avLst/>
                    </a:prstGeom>
                    <a:noFill/>
                    <a:ln>
                      <a:noFill/>
                    </a:ln>
                  </pic:spPr>
                </pic:pic>
              </a:graphicData>
            </a:graphic>
          </wp:inline>
        </w:drawing>
      </w:r>
    </w:p>
    <w:p w14:paraId="57005D1C" w14:textId="15FAA11C" w:rsidR="00FD4B9D" w:rsidRDefault="002B72E7">
      <w:pPr>
        <w:numPr>
          <w:ilvl w:val="255"/>
          <w:numId w:val="0"/>
        </w:numPr>
        <w:spacing w:before="120" w:after="120"/>
        <w:jc w:val="center"/>
      </w:pPr>
      <w:r>
        <w:rPr>
          <w:rFonts w:hint="eastAsia"/>
        </w:rPr>
        <w:t xml:space="preserve">Figure </w:t>
      </w:r>
      <w:r w:rsidR="002854DD">
        <w:t>4</w:t>
      </w:r>
      <w:r>
        <w:rPr>
          <w:rFonts w:hint="eastAsia"/>
        </w:rPr>
        <w:t>(b) Configuration of PEI associated with multiple POs across the PF</w:t>
      </w:r>
    </w:p>
    <w:p w14:paraId="41726062" w14:textId="77777777" w:rsidR="00FD4B9D" w:rsidRDefault="00FD4B9D">
      <w:pPr>
        <w:spacing w:before="120" w:after="120"/>
        <w:rPr>
          <w:szCs w:val="21"/>
        </w:rPr>
      </w:pPr>
    </w:p>
    <w:p w14:paraId="5BE86FA9" w14:textId="77777777" w:rsidR="00FD4B9D" w:rsidRDefault="002B72E7">
      <w:pPr>
        <w:pStyle w:val="YJ-Proposal"/>
        <w:spacing w:before="120" w:after="120"/>
        <w:jc w:val="both"/>
        <w:rPr>
          <w:i w:val="0"/>
          <w:iCs w:val="0"/>
          <w:szCs w:val="21"/>
        </w:rPr>
      </w:pPr>
      <w:bookmarkStart w:id="40" w:name="_Toc86840266"/>
      <w:bookmarkStart w:id="41" w:name="_Toc14361"/>
      <w:bookmarkStart w:id="42" w:name="_Toc87031838"/>
      <w:r>
        <w:rPr>
          <w:rFonts w:hint="eastAsia"/>
          <w:i w:val="0"/>
          <w:iCs w:val="0"/>
          <w:szCs w:val="21"/>
          <w:lang w:val="en-US" w:eastAsia="zh-CN"/>
        </w:rPr>
        <w:t>Alt 3,</w:t>
      </w:r>
      <w:r>
        <w:rPr>
          <w:i w:val="0"/>
          <w:iCs w:val="0"/>
          <w:szCs w:val="21"/>
          <w:lang w:val="en-US" w:eastAsia="zh-CN"/>
        </w:rPr>
        <w:t xml:space="preserve"> i.e.,</w:t>
      </w:r>
      <w:r>
        <w:rPr>
          <w:rFonts w:hint="eastAsia"/>
          <w:i w:val="0"/>
          <w:iCs w:val="0"/>
          <w:szCs w:val="21"/>
          <w:lang w:val="en-US" w:eastAsia="zh-CN"/>
        </w:rPr>
        <w:t xml:space="preserve"> </w:t>
      </w:r>
      <w:r>
        <w:rPr>
          <w:i w:val="0"/>
          <w:iCs w:val="0"/>
          <w:szCs w:val="21"/>
          <w:lang w:val="en-US" w:eastAsia="zh-CN"/>
        </w:rPr>
        <w:t>the determination of</w:t>
      </w:r>
      <w:r>
        <w:rPr>
          <w:rFonts w:hint="eastAsia"/>
          <w:i w:val="0"/>
          <w:iCs w:val="0"/>
          <w:szCs w:val="21"/>
          <w:lang w:val="en-US" w:eastAsia="zh-CN"/>
        </w:rPr>
        <w:t xml:space="preserve"> the PEI-O location by a</w:t>
      </w:r>
      <w:r>
        <w:rPr>
          <w:i w:val="0"/>
          <w:iCs w:val="0"/>
          <w:szCs w:val="21"/>
          <w:lang w:val="en-US" w:eastAsia="zh-CN"/>
        </w:rPr>
        <w:t>n</w:t>
      </w:r>
      <w:r>
        <w:rPr>
          <w:rFonts w:hint="eastAsia"/>
          <w:i w:val="0"/>
          <w:iCs w:val="0"/>
          <w:szCs w:val="21"/>
          <w:lang w:val="en-US" w:eastAsia="zh-CN"/>
        </w:rPr>
        <w:t xml:space="preserve"> offset </w:t>
      </w:r>
      <w:r>
        <w:rPr>
          <w:i w:val="0"/>
          <w:iCs w:val="0"/>
          <w:szCs w:val="21"/>
          <w:lang w:val="en-US" w:eastAsia="zh-CN"/>
        </w:rPr>
        <w:t xml:space="preserve">for </w:t>
      </w:r>
      <w:r>
        <w:rPr>
          <w:rFonts w:hint="eastAsia"/>
          <w:i w:val="0"/>
          <w:iCs w:val="0"/>
          <w:szCs w:val="21"/>
          <w:lang w:val="en-US" w:eastAsia="zh-CN"/>
        </w:rPr>
        <w:t>the target PO</w:t>
      </w:r>
      <w:r>
        <w:rPr>
          <w:i w:val="0"/>
          <w:iCs w:val="0"/>
          <w:szCs w:val="21"/>
          <w:lang w:val="en-US" w:eastAsia="zh-CN"/>
        </w:rPr>
        <w:t xml:space="preserve"> should be adopted</w:t>
      </w:r>
      <w:r>
        <w:rPr>
          <w:rFonts w:hint="eastAsia"/>
          <w:i w:val="0"/>
          <w:iCs w:val="0"/>
          <w:szCs w:val="21"/>
          <w:lang w:val="en-US" w:eastAsia="zh-CN"/>
        </w:rPr>
        <w:t>.</w:t>
      </w:r>
      <w:bookmarkEnd w:id="40"/>
      <w:bookmarkEnd w:id="41"/>
      <w:bookmarkEnd w:id="42"/>
    </w:p>
    <w:p w14:paraId="7F107AFC" w14:textId="77777777" w:rsidR="00FD4B9D" w:rsidRDefault="002B72E7">
      <w:pPr>
        <w:spacing w:before="120" w:after="120"/>
        <w:rPr>
          <w:szCs w:val="21"/>
        </w:rPr>
      </w:pPr>
      <w:r>
        <w:rPr>
          <w:rFonts w:hint="eastAsia"/>
          <w:szCs w:val="21"/>
        </w:rPr>
        <w:t xml:space="preserve">As shown in our contribution [3], PEI can be located in different positions, </w:t>
      </w:r>
      <w:r>
        <w:rPr>
          <w:szCs w:val="21"/>
        </w:rPr>
        <w:t>e.g.</w:t>
      </w:r>
      <w:r>
        <w:rPr>
          <w:rFonts w:hint="eastAsia"/>
          <w:szCs w:val="21"/>
        </w:rPr>
        <w:t xml:space="preserve"> before </w:t>
      </w:r>
      <w:r>
        <w:rPr>
          <w:szCs w:val="21"/>
        </w:rPr>
        <w:t xml:space="preserve">several </w:t>
      </w:r>
      <w:r>
        <w:rPr>
          <w:rFonts w:hint="eastAsia"/>
          <w:szCs w:val="21"/>
        </w:rPr>
        <w:t>SSBs or close to the PO. The power saving gain from PEI in different positions varies greatly. According to the simulation results in [3], when there are SSB occasions between the PEI and the PO, UE can obtain larger power saving gain. Therefore, when determining the PEI location, the occurrence of SSB between the PEI and the PO can be considered.</w:t>
      </w:r>
    </w:p>
    <w:p w14:paraId="364B1886" w14:textId="6675BDBC" w:rsidR="00FD4B9D" w:rsidRDefault="002B72E7">
      <w:pPr>
        <w:pStyle w:val="YJ-Proposal"/>
        <w:spacing w:before="120" w:after="120"/>
        <w:jc w:val="both"/>
        <w:rPr>
          <w:i w:val="0"/>
          <w:iCs w:val="0"/>
          <w:szCs w:val="21"/>
          <w:lang w:val="en-US" w:eastAsia="zh-CN"/>
        </w:rPr>
      </w:pPr>
      <w:bookmarkStart w:id="43" w:name="_Toc31862"/>
      <w:bookmarkStart w:id="44" w:name="_Toc86840267"/>
      <w:bookmarkStart w:id="45" w:name="_Toc87031839"/>
      <w:r>
        <w:rPr>
          <w:rFonts w:hint="eastAsia"/>
          <w:i w:val="0"/>
          <w:iCs w:val="0"/>
          <w:szCs w:val="21"/>
          <w:lang w:val="en-US" w:eastAsia="zh-CN"/>
        </w:rPr>
        <w:t xml:space="preserve">The occurrence of SSB between the PEI and the PO can be considered to </w:t>
      </w:r>
      <w:r w:rsidR="004A78E2">
        <w:rPr>
          <w:i w:val="0"/>
          <w:iCs w:val="0"/>
          <w:szCs w:val="21"/>
          <w:lang w:val="en-US" w:eastAsia="zh-CN"/>
        </w:rPr>
        <w:t>provide</w:t>
      </w:r>
      <w:r w:rsidR="004A78E2">
        <w:rPr>
          <w:rFonts w:hint="eastAsia"/>
          <w:i w:val="0"/>
          <w:iCs w:val="0"/>
          <w:szCs w:val="21"/>
          <w:lang w:val="en-US" w:eastAsia="zh-CN"/>
        </w:rPr>
        <w:t xml:space="preserve"> </w:t>
      </w:r>
      <w:r>
        <w:rPr>
          <w:rFonts w:hint="eastAsia"/>
          <w:i w:val="0"/>
          <w:iCs w:val="0"/>
          <w:szCs w:val="21"/>
          <w:lang w:val="en-US" w:eastAsia="zh-CN"/>
        </w:rPr>
        <w:t>a la</w:t>
      </w:r>
      <w:r>
        <w:rPr>
          <w:i w:val="0"/>
          <w:iCs w:val="0"/>
          <w:szCs w:val="21"/>
          <w:lang w:val="en-US" w:eastAsia="zh-CN"/>
        </w:rPr>
        <w:t>r</w:t>
      </w:r>
      <w:r>
        <w:rPr>
          <w:rFonts w:hint="eastAsia"/>
          <w:i w:val="0"/>
          <w:iCs w:val="0"/>
          <w:szCs w:val="21"/>
          <w:lang w:val="en-US" w:eastAsia="zh-CN"/>
        </w:rPr>
        <w:t>ger power saving gain.</w:t>
      </w:r>
      <w:bookmarkEnd w:id="43"/>
      <w:bookmarkEnd w:id="44"/>
      <w:bookmarkEnd w:id="45"/>
    </w:p>
    <w:p w14:paraId="79F893A2" w14:textId="77777777" w:rsidR="00FD4B9D" w:rsidRDefault="00FD4B9D">
      <w:pPr>
        <w:spacing w:before="120" w:after="120"/>
      </w:pPr>
      <w:bookmarkStart w:id="46" w:name="_Toc19439"/>
      <w:bookmarkStart w:id="47" w:name="_Toc22563"/>
      <w:bookmarkEnd w:id="46"/>
      <w:bookmarkEnd w:id="47"/>
    </w:p>
    <w:p w14:paraId="5044AE94" w14:textId="77777777" w:rsidR="00FD4B9D" w:rsidRDefault="002B72E7">
      <w:pPr>
        <w:pStyle w:val="2"/>
        <w:spacing w:before="120" w:after="120" w:line="260" w:lineRule="auto"/>
        <w:ind w:left="0" w:right="210"/>
        <w:rPr>
          <w:rFonts w:ascii="Times New Roman" w:hAnsi="Times New Roman"/>
          <w:b/>
          <w:bCs/>
          <w:sz w:val="22"/>
          <w:szCs w:val="22"/>
        </w:rPr>
      </w:pPr>
      <w:r>
        <w:rPr>
          <w:rFonts w:ascii="Times New Roman" w:hAnsi="Times New Roman"/>
          <w:b/>
          <w:bCs/>
          <w:sz w:val="22"/>
          <w:szCs w:val="22"/>
        </w:rPr>
        <w:t>Other aspects</w:t>
      </w:r>
    </w:p>
    <w:p w14:paraId="75EA4000" w14:textId="4DFCC17E" w:rsidR="00FD4B9D" w:rsidRDefault="002B72E7">
      <w:pPr>
        <w:spacing w:before="120" w:after="120"/>
      </w:pPr>
      <w:r>
        <w:t>For PDCCH-based PEI, other aspects, such as aggregation level</w:t>
      </w:r>
      <w:r>
        <w:rPr>
          <w:rFonts w:hint="eastAsia"/>
        </w:rPr>
        <w:t xml:space="preserve">, </w:t>
      </w:r>
      <w:r>
        <w:t xml:space="preserve">candidate, RNTI need to be </w:t>
      </w:r>
      <w:r>
        <w:rPr>
          <w:rFonts w:hint="eastAsia"/>
        </w:rPr>
        <w:t xml:space="preserve">further </w:t>
      </w:r>
      <w:r>
        <w:t>discussed.</w:t>
      </w:r>
    </w:p>
    <w:p w14:paraId="36A630D8" w14:textId="77777777" w:rsidR="00FD4B9D" w:rsidRDefault="00FD4B9D">
      <w:pPr>
        <w:spacing w:before="120" w:after="120"/>
      </w:pPr>
    </w:p>
    <w:p w14:paraId="20AC973A" w14:textId="77777777" w:rsidR="00FD4B9D" w:rsidRDefault="002B72E7">
      <w:pPr>
        <w:numPr>
          <w:ilvl w:val="0"/>
          <w:numId w:val="17"/>
        </w:numPr>
        <w:spacing w:before="120" w:after="120"/>
        <w:rPr>
          <w:b/>
          <w:bCs/>
        </w:rPr>
      </w:pPr>
      <w:r>
        <w:rPr>
          <w:rFonts w:hint="eastAsia"/>
          <w:b/>
          <w:bCs/>
        </w:rPr>
        <w:t>Aggregation level &amp; candidate</w:t>
      </w:r>
    </w:p>
    <w:p w14:paraId="18324DDC" w14:textId="02073D92" w:rsidR="00FD4B9D" w:rsidRDefault="002B72E7">
      <w:pPr>
        <w:spacing w:before="120" w:after="120"/>
      </w:pPr>
      <w:r>
        <w:t>According to our contribution [</w:t>
      </w:r>
      <w:r>
        <w:rPr>
          <w:rFonts w:hint="eastAsia"/>
        </w:rPr>
        <w:t>3</w:t>
      </w:r>
      <w:r>
        <w:t xml:space="preserve">], for PDCCH-based PEI with SCL decoding, AL 4 fulfills the performance required by paging PDSCH without TB scaling, and AL 8 fulfills the performance required by paging PDSCH with TB scaling=0.5. What’s more, when the payload size changes, the required aggregation level for different performance requirements changes accordingly. Therefore, configurable aggregation levels for different application scenarios can improve the coverage and adapt to different TB scaling factors. </w:t>
      </w:r>
    </w:p>
    <w:p w14:paraId="5CE1B6D4" w14:textId="341CBF58" w:rsidR="00FD4B9D" w:rsidRDefault="002B72E7">
      <w:pPr>
        <w:spacing w:before="120" w:after="120"/>
      </w:pPr>
      <w:r>
        <w:rPr>
          <w:rFonts w:hint="eastAsia"/>
        </w:rPr>
        <w:t>As described in TS38.213, the CCE aggregation levels for Type0/0A/2-PDCCH CSS set L</w:t>
      </w:r>
      <w:r>
        <w:rPr>
          <w:rFonts w:hint="eastAsia"/>
          <w:position w:val="-4"/>
        </w:rPr>
        <w:object w:dxaOrig="180" w:dyaOrig="180" w14:anchorId="66EA70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9pt" o:ole="">
            <v:imagedata r:id="rId16" o:title=""/>
          </v:shape>
          <o:OLEObject Type="Embed" ProgID="Equation.3" ShapeID="_x0000_i1025" DrawAspect="Content" ObjectID="_1697646661" r:id="rId17"/>
        </w:object>
      </w:r>
      <w:r>
        <w:rPr>
          <w:rFonts w:hint="eastAsia"/>
        </w:rPr>
        <w:t xml:space="preserve">{4, 8, 16} with a </w:t>
      </w:r>
      <w:r>
        <w:t>candidate</w:t>
      </w:r>
      <w:r>
        <w:rPr>
          <w:rFonts w:hint="eastAsia"/>
        </w:rPr>
        <w:t xml:space="preserve"> of {4, 2, 1}. Considering the PEI decoding performance, the aggregation levels of PEI can </w:t>
      </w:r>
      <w:r>
        <w:t xml:space="preserve">be applied </w:t>
      </w:r>
      <w:r w:rsidR="004A78E2">
        <w:t xml:space="preserve">with </w:t>
      </w:r>
      <w:r>
        <w:rPr>
          <w:rFonts w:hint="eastAsia"/>
        </w:rPr>
        <w:t>the same</w:t>
      </w:r>
      <w:r w:rsidR="004A78E2">
        <w:t xml:space="preserve"> AL</w:t>
      </w:r>
      <w:r>
        <w:rPr>
          <w:rFonts w:hint="eastAsia"/>
        </w:rPr>
        <w:t xml:space="preserve"> configuration as that of Type0/0A/2-PDCCH CSS.</w:t>
      </w:r>
    </w:p>
    <w:p w14:paraId="0F328D5C" w14:textId="762FEB7F" w:rsidR="00FD4B9D" w:rsidRDefault="002B72E7">
      <w:pPr>
        <w:pStyle w:val="YJ-Proposal"/>
        <w:spacing w:before="120" w:after="120"/>
        <w:jc w:val="both"/>
        <w:rPr>
          <w:i w:val="0"/>
          <w:iCs w:val="0"/>
          <w:szCs w:val="21"/>
          <w:lang w:val="en-US" w:eastAsia="zh-CN"/>
        </w:rPr>
      </w:pPr>
      <w:bookmarkStart w:id="48" w:name="_Toc20977"/>
      <w:bookmarkStart w:id="49" w:name="_Toc5422"/>
      <w:bookmarkStart w:id="50" w:name="_Toc86840268"/>
      <w:bookmarkStart w:id="51" w:name="_Toc25839"/>
      <w:bookmarkStart w:id="52" w:name="_Toc87031840"/>
      <w:r>
        <w:rPr>
          <w:i w:val="0"/>
          <w:iCs w:val="0"/>
          <w:szCs w:val="21"/>
          <w:lang w:val="en-US" w:eastAsia="zh-CN"/>
        </w:rPr>
        <w:t>The aggregation levels</w:t>
      </w:r>
      <w:r>
        <w:rPr>
          <w:rFonts w:hint="eastAsia"/>
          <w:i w:val="0"/>
          <w:iCs w:val="0"/>
          <w:szCs w:val="21"/>
          <w:lang w:val="en-US" w:eastAsia="zh-CN"/>
        </w:rPr>
        <w:t xml:space="preserve"> and candidate</w:t>
      </w:r>
      <w:r>
        <w:rPr>
          <w:i w:val="0"/>
          <w:iCs w:val="0"/>
          <w:szCs w:val="21"/>
          <w:lang w:val="en-US" w:eastAsia="zh-CN"/>
        </w:rPr>
        <w:t xml:space="preserve">s </w:t>
      </w:r>
      <w:bookmarkEnd w:id="48"/>
      <w:bookmarkEnd w:id="49"/>
      <w:r>
        <w:rPr>
          <w:rFonts w:hint="eastAsia"/>
          <w:i w:val="0"/>
          <w:iCs w:val="0"/>
          <w:szCs w:val="21"/>
          <w:lang w:val="en-US" w:eastAsia="zh-CN"/>
        </w:rPr>
        <w:t>of Type0/0A/2-PDCCH CSS</w:t>
      </w:r>
      <w:r w:rsidR="004A78E2">
        <w:rPr>
          <w:i w:val="0"/>
          <w:iCs w:val="0"/>
          <w:szCs w:val="21"/>
          <w:lang w:val="en-US" w:eastAsia="zh-CN"/>
        </w:rPr>
        <w:t xml:space="preserve"> can be reused for PDCCH-based PEI</w:t>
      </w:r>
      <w:r>
        <w:rPr>
          <w:rFonts w:hint="eastAsia"/>
          <w:i w:val="0"/>
          <w:iCs w:val="0"/>
          <w:szCs w:val="21"/>
          <w:lang w:val="en-US" w:eastAsia="zh-CN"/>
        </w:rPr>
        <w:t>.</w:t>
      </w:r>
      <w:bookmarkEnd w:id="50"/>
      <w:bookmarkEnd w:id="51"/>
      <w:bookmarkEnd w:id="52"/>
    </w:p>
    <w:p w14:paraId="2165CDA7" w14:textId="77777777" w:rsidR="00FD4B9D" w:rsidRDefault="00FD4B9D">
      <w:pPr>
        <w:spacing w:before="120" w:after="120"/>
        <w:rPr>
          <w:b/>
          <w:bCs/>
        </w:rPr>
      </w:pPr>
    </w:p>
    <w:p w14:paraId="598F413B" w14:textId="77777777" w:rsidR="00FD4B9D" w:rsidRDefault="002B72E7">
      <w:pPr>
        <w:numPr>
          <w:ilvl w:val="0"/>
          <w:numId w:val="17"/>
        </w:numPr>
        <w:spacing w:before="120" w:after="120"/>
        <w:rPr>
          <w:b/>
          <w:bCs/>
        </w:rPr>
      </w:pPr>
      <w:r>
        <w:rPr>
          <w:rFonts w:hint="eastAsia"/>
          <w:b/>
          <w:bCs/>
        </w:rPr>
        <w:t>RNTI</w:t>
      </w:r>
    </w:p>
    <w:p w14:paraId="67C64BCC" w14:textId="196541AC" w:rsidR="00FD4B9D" w:rsidRDefault="002B72E7">
      <w:pPr>
        <w:spacing w:before="120" w:after="120"/>
      </w:pPr>
      <w:r>
        <w:t xml:space="preserve">For RNTI used to scramble the CRC of </w:t>
      </w:r>
      <w:r>
        <w:rPr>
          <w:rFonts w:hint="eastAsia"/>
        </w:rPr>
        <w:t>PDCCH-based</w:t>
      </w:r>
      <w:r>
        <w:t xml:space="preserve"> PEI, </w:t>
      </w:r>
      <w:r>
        <w:rPr>
          <w:rFonts w:hint="eastAsia"/>
        </w:rPr>
        <w:t xml:space="preserve">both legacy RNTI like P-RNTI and new RNTI can be </w:t>
      </w:r>
      <w:r>
        <w:t>considered.</w:t>
      </w:r>
      <w:r>
        <w:rPr>
          <w:rFonts w:hint="eastAsia"/>
        </w:rPr>
        <w:t xml:space="preserve"> When the payload size of PEI and paging PDCCH can be distinguished, using the P-RNTI is a good choice.</w:t>
      </w:r>
    </w:p>
    <w:p w14:paraId="290F1C47" w14:textId="50B336FE" w:rsidR="00FD4B9D" w:rsidRDefault="002B72E7">
      <w:pPr>
        <w:spacing w:before="120" w:after="120"/>
      </w:pPr>
      <w:r>
        <w:rPr>
          <w:rFonts w:hint="eastAsia"/>
        </w:rPr>
        <w:t xml:space="preserve">The </w:t>
      </w:r>
      <w:r w:rsidR="00385802">
        <w:t>detection</w:t>
      </w:r>
      <w:r>
        <w:rPr>
          <w:rFonts w:hint="eastAsia"/>
        </w:rPr>
        <w:t xml:space="preserve"> performance of the PEI is influenced by the payload size of PEI. When the payload size of PEI is large, the </w:t>
      </w:r>
      <w:r w:rsidR="00385802">
        <w:rPr>
          <w:rFonts w:hint="eastAsia"/>
        </w:rPr>
        <w:t xml:space="preserve">decoding </w:t>
      </w:r>
      <w:r>
        <w:rPr>
          <w:rFonts w:hint="eastAsia"/>
        </w:rPr>
        <w:t xml:space="preserve">performance of PEI will be </w:t>
      </w:r>
      <w:r w:rsidR="00F469A1">
        <w:t>degrade</w:t>
      </w:r>
      <w:r w:rsidR="00385802">
        <w:t xml:space="preserve">d and more </w:t>
      </w:r>
      <w:r w:rsidR="00F469A1">
        <w:t>stringent synchronization performance is required</w:t>
      </w:r>
      <w:r w:rsidR="00385802">
        <w:t>.</w:t>
      </w:r>
      <w:r>
        <w:rPr>
          <w:rFonts w:hint="eastAsia"/>
        </w:rPr>
        <w:t xml:space="preserve"> Considering the</w:t>
      </w:r>
      <w:r w:rsidR="00F469A1">
        <w:t xml:space="preserve"> power saving gain from</w:t>
      </w:r>
      <w:r>
        <w:rPr>
          <w:rFonts w:hint="eastAsia"/>
        </w:rPr>
        <w:t xml:space="preserve"> PEI </w:t>
      </w:r>
      <w:r w:rsidR="004A78E2">
        <w:t xml:space="preserve">comes from the </w:t>
      </w:r>
      <w:r w:rsidR="00385802">
        <w:t>relaxed</w:t>
      </w:r>
      <w:r>
        <w:rPr>
          <w:rFonts w:hint="eastAsia"/>
        </w:rPr>
        <w:t xml:space="preserve"> synchronization </w:t>
      </w:r>
      <w:r w:rsidR="00385802">
        <w:t>requirement</w:t>
      </w:r>
      <w:r>
        <w:rPr>
          <w:rFonts w:hint="eastAsia"/>
        </w:rPr>
        <w:t xml:space="preserve"> </w:t>
      </w:r>
      <w:r w:rsidR="00385802">
        <w:t xml:space="preserve">and better MDR </w:t>
      </w:r>
      <w:r w:rsidR="00385802">
        <w:lastRenderedPageBreak/>
        <w:t>performance</w:t>
      </w:r>
      <w:r>
        <w:rPr>
          <w:rFonts w:hint="eastAsia"/>
        </w:rPr>
        <w:t xml:space="preserve">, </w:t>
      </w:r>
      <w:r w:rsidR="00385802">
        <w:t xml:space="preserve">the </w:t>
      </w:r>
      <w:r>
        <w:rPr>
          <w:rFonts w:hint="eastAsia"/>
        </w:rPr>
        <w:t xml:space="preserve">payload size </w:t>
      </w:r>
      <w:r w:rsidR="00385802">
        <w:t xml:space="preserve">should be carefully considered, for example, </w:t>
      </w:r>
      <w:r>
        <w:rPr>
          <w:rFonts w:hint="eastAsia"/>
        </w:rPr>
        <w:t xml:space="preserve">less than that of paging PDCCH. </w:t>
      </w:r>
      <w:r w:rsidR="00EC1F01">
        <w:t>In this case</w:t>
      </w:r>
      <w:r>
        <w:rPr>
          <w:rFonts w:hint="eastAsia"/>
        </w:rPr>
        <w:t>, P-</w:t>
      </w:r>
      <w:r>
        <w:t xml:space="preserve">RNTI </w:t>
      </w:r>
      <w:r>
        <w:rPr>
          <w:rFonts w:hint="eastAsia"/>
        </w:rPr>
        <w:t xml:space="preserve">can be used </w:t>
      </w:r>
      <w:r>
        <w:t xml:space="preserve">to </w:t>
      </w:r>
      <w:r w:rsidR="004A78E2">
        <w:t xml:space="preserve">for </w:t>
      </w:r>
      <w:r w:rsidR="00EC1F01">
        <w:t>PEI</w:t>
      </w:r>
      <w:r w:rsidR="004A78E2">
        <w:t xml:space="preserve"> scrambling</w:t>
      </w:r>
      <w:r>
        <w:t xml:space="preserve">. </w:t>
      </w:r>
    </w:p>
    <w:p w14:paraId="43BC9CAB" w14:textId="143E2749" w:rsidR="00FD4B9D" w:rsidRPr="00AD406E" w:rsidRDefault="002B72E7" w:rsidP="00AD406E">
      <w:pPr>
        <w:pStyle w:val="YJ-Proposal"/>
        <w:spacing w:before="120" w:after="120"/>
        <w:jc w:val="both"/>
        <w:rPr>
          <w:i w:val="0"/>
          <w:iCs w:val="0"/>
          <w:szCs w:val="21"/>
          <w:lang w:val="en-US" w:eastAsia="zh-CN"/>
        </w:rPr>
      </w:pPr>
      <w:bookmarkStart w:id="53" w:name="_Toc3520"/>
      <w:bookmarkStart w:id="54" w:name="_Toc86840262"/>
      <w:bookmarkStart w:id="55" w:name="_Toc87031841"/>
      <w:r w:rsidRPr="007C5B79">
        <w:rPr>
          <w:i w:val="0"/>
          <w:iCs w:val="0"/>
          <w:szCs w:val="21"/>
          <w:lang w:val="en-US" w:eastAsia="zh-CN"/>
        </w:rPr>
        <w:t>P-RNTI is supported for PEI</w:t>
      </w:r>
      <w:r w:rsidRPr="00AD406E">
        <w:rPr>
          <w:i w:val="0"/>
          <w:iCs w:val="0"/>
          <w:szCs w:val="21"/>
          <w:lang w:val="en-US" w:eastAsia="zh-CN"/>
        </w:rPr>
        <w:t>.</w:t>
      </w:r>
      <w:bookmarkEnd w:id="53"/>
      <w:bookmarkEnd w:id="54"/>
      <w:bookmarkEnd w:id="55"/>
    </w:p>
    <w:p w14:paraId="35D333E6" w14:textId="77777777" w:rsidR="00FD4B9D" w:rsidRDefault="00FD4B9D">
      <w:pPr>
        <w:spacing w:before="120" w:after="120"/>
      </w:pPr>
    </w:p>
    <w:p w14:paraId="027AC7FD" w14:textId="77777777" w:rsidR="00FD4B9D" w:rsidRDefault="002B72E7">
      <w:pPr>
        <w:pStyle w:val="1"/>
        <w:spacing w:before="120" w:after="120"/>
        <w:ind w:left="0"/>
        <w:rPr>
          <w:rFonts w:ascii="Times New Roman" w:eastAsia="宋体" w:hAnsi="Times New Roman"/>
          <w:b/>
          <w:bCs/>
          <w:sz w:val="24"/>
          <w:szCs w:val="24"/>
        </w:rPr>
      </w:pPr>
      <w:r>
        <w:rPr>
          <w:rFonts w:ascii="Times New Roman" w:eastAsia="宋体" w:hAnsi="Times New Roman"/>
          <w:b/>
          <w:bCs/>
          <w:sz w:val="24"/>
          <w:szCs w:val="24"/>
        </w:rPr>
        <w:t>Conclusion</w:t>
      </w:r>
    </w:p>
    <w:p w14:paraId="3B56E8B0" w14:textId="77777777" w:rsidR="00FD4B9D" w:rsidRDefault="002B72E7">
      <w:pPr>
        <w:spacing w:before="120" w:after="120"/>
      </w:pPr>
      <w:r>
        <w:rPr>
          <w:rFonts w:hint="eastAsia"/>
        </w:rPr>
        <w:t>In this contribution, we discuss the power saving enhancement schemes for paging. We have the following observations and proposals.</w:t>
      </w:r>
    </w:p>
    <w:p w14:paraId="7B89B32A" w14:textId="77777777" w:rsidR="00AD406E" w:rsidRPr="00AD406E" w:rsidRDefault="00AD406E" w:rsidP="00AD406E">
      <w:pPr>
        <w:pStyle w:val="YJ-Observation"/>
        <w:numPr>
          <w:ilvl w:val="0"/>
          <w:numId w:val="21"/>
        </w:numPr>
        <w:spacing w:before="120" w:after="120"/>
        <w:jc w:val="both"/>
        <w:rPr>
          <w:i w:val="0"/>
          <w:iCs w:val="0"/>
          <w:lang w:val="en-US" w:eastAsia="zh-CN"/>
        </w:rPr>
      </w:pPr>
      <w:r w:rsidRPr="00AD406E">
        <w:rPr>
          <w:rFonts w:hint="eastAsia"/>
          <w:i w:val="0"/>
          <w:iCs w:val="0"/>
          <w:lang w:val="en-US" w:eastAsia="zh-CN"/>
        </w:rPr>
        <w:t xml:space="preserve">In the scenario where the PEI </w:t>
      </w:r>
      <w:r w:rsidRPr="00AD406E">
        <w:rPr>
          <w:i w:val="0"/>
          <w:iCs w:val="0"/>
          <w:lang w:val="en-US" w:eastAsia="zh-CN"/>
        </w:rPr>
        <w:t xml:space="preserve">is </w:t>
      </w:r>
      <w:r w:rsidRPr="00AD406E">
        <w:rPr>
          <w:rFonts w:hint="eastAsia"/>
          <w:i w:val="0"/>
          <w:iCs w:val="0"/>
          <w:lang w:val="en-US" w:eastAsia="zh-CN"/>
        </w:rPr>
        <w:t>configured to indicate</w:t>
      </w:r>
      <w:r w:rsidRPr="00AD406E">
        <w:rPr>
          <w:i w:val="0"/>
          <w:iCs w:val="0"/>
          <w:lang w:val="en-US" w:eastAsia="zh-CN"/>
        </w:rPr>
        <w:t xml:space="preserve"> paging information across</w:t>
      </w:r>
      <w:r w:rsidRPr="00AD406E">
        <w:rPr>
          <w:rFonts w:hint="eastAsia"/>
          <w:i w:val="0"/>
          <w:iCs w:val="0"/>
          <w:lang w:val="en-US" w:eastAsia="zh-CN"/>
        </w:rPr>
        <w:t xml:space="preserve"> PF</w:t>
      </w:r>
      <w:r w:rsidRPr="00AD406E">
        <w:rPr>
          <w:i w:val="0"/>
          <w:iCs w:val="0"/>
          <w:lang w:val="en-US" w:eastAsia="zh-CN"/>
        </w:rPr>
        <w:t>s</w:t>
      </w:r>
      <w:r w:rsidRPr="00AD406E">
        <w:rPr>
          <w:rFonts w:hint="eastAsia"/>
          <w:i w:val="0"/>
          <w:iCs w:val="0"/>
          <w:lang w:val="en-US" w:eastAsia="zh-CN"/>
        </w:rPr>
        <w:t xml:space="preserve">, Alt 1 </w:t>
      </w:r>
      <w:r w:rsidRPr="00AD406E">
        <w:rPr>
          <w:i w:val="0"/>
          <w:iCs w:val="0"/>
          <w:lang w:val="en-US" w:eastAsia="zh-CN"/>
        </w:rPr>
        <w:t>with one PF-specific offset is not sufficient to determine the PEI occasion</w:t>
      </w:r>
      <w:r w:rsidRPr="00AD406E">
        <w:rPr>
          <w:rFonts w:hint="eastAsia"/>
          <w:i w:val="0"/>
          <w:iCs w:val="0"/>
          <w:lang w:val="en-US" w:eastAsia="zh-CN"/>
        </w:rPr>
        <w:t>.</w:t>
      </w:r>
    </w:p>
    <w:p w14:paraId="73F0232C" w14:textId="77777777" w:rsidR="00AD406E" w:rsidRPr="00AD406E" w:rsidRDefault="00AD406E" w:rsidP="00AD406E">
      <w:pPr>
        <w:pStyle w:val="YJ-Observation"/>
        <w:numPr>
          <w:ilvl w:val="0"/>
          <w:numId w:val="21"/>
        </w:numPr>
        <w:spacing w:before="120" w:after="120"/>
        <w:jc w:val="both"/>
        <w:rPr>
          <w:i w:val="0"/>
          <w:iCs w:val="0"/>
          <w:lang w:val="en-US" w:eastAsia="zh-CN"/>
        </w:rPr>
      </w:pPr>
      <w:r w:rsidRPr="00AD406E">
        <w:rPr>
          <w:i w:val="0"/>
          <w:iCs w:val="0"/>
          <w:lang w:val="en-US" w:eastAsia="zh-CN"/>
        </w:rPr>
        <w:t xml:space="preserve">For </w:t>
      </w:r>
      <w:r w:rsidRPr="00AD406E">
        <w:rPr>
          <w:rFonts w:hint="eastAsia"/>
          <w:i w:val="0"/>
          <w:iCs w:val="0"/>
          <w:lang w:val="en-US" w:eastAsia="zh-CN"/>
        </w:rPr>
        <w:t>Alt 2</w:t>
      </w:r>
      <w:r w:rsidRPr="00AD406E">
        <w:rPr>
          <w:i w:val="0"/>
          <w:iCs w:val="0"/>
          <w:lang w:val="en-US" w:eastAsia="zh-CN"/>
        </w:rPr>
        <w:t xml:space="preserve">, </w:t>
      </w:r>
      <w:r w:rsidRPr="00AD406E">
        <w:rPr>
          <w:i w:val="0"/>
        </w:rPr>
        <w:t>the L-th SSB should be PO-specific in the scenario when one PEI is configured to indicate paging information for multiple POs</w:t>
      </w:r>
    </w:p>
    <w:p w14:paraId="5E823B08" w14:textId="77777777" w:rsidR="00AD406E" w:rsidRPr="00AD406E" w:rsidRDefault="00AD406E" w:rsidP="00AD406E">
      <w:pPr>
        <w:pStyle w:val="YJ-Observation"/>
        <w:numPr>
          <w:ilvl w:val="0"/>
          <w:numId w:val="21"/>
        </w:numPr>
        <w:spacing w:before="120" w:after="120"/>
        <w:jc w:val="both"/>
        <w:rPr>
          <w:i w:val="0"/>
          <w:iCs w:val="0"/>
          <w:lang w:val="en-US" w:eastAsia="zh-CN"/>
        </w:rPr>
      </w:pPr>
      <w:r w:rsidRPr="00AD406E">
        <w:rPr>
          <w:rFonts w:hint="eastAsia"/>
          <w:i w:val="0"/>
          <w:iCs w:val="0"/>
          <w:lang w:val="en-US" w:eastAsia="zh-CN"/>
        </w:rPr>
        <w:t>The PEI-O location determined by the L-th SSB before the target PO may not bring additional power saving gain.</w:t>
      </w:r>
    </w:p>
    <w:p w14:paraId="6BD8E9AE" w14:textId="77777777" w:rsidR="00AD406E" w:rsidRDefault="00AD406E">
      <w:pPr>
        <w:spacing w:before="120" w:after="120"/>
      </w:pPr>
    </w:p>
    <w:p w14:paraId="6F67AF51" w14:textId="77777777" w:rsidR="00AD406E" w:rsidRPr="00AD406E" w:rsidRDefault="00AD406E" w:rsidP="00AD406E">
      <w:pPr>
        <w:pStyle w:val="YJ-Proposal"/>
        <w:numPr>
          <w:ilvl w:val="0"/>
          <w:numId w:val="20"/>
        </w:numPr>
        <w:spacing w:before="120" w:after="120"/>
        <w:jc w:val="both"/>
        <w:rPr>
          <w:szCs w:val="21"/>
          <w:lang w:val="en-US" w:eastAsia="zh-CN"/>
        </w:rPr>
      </w:pPr>
      <w:r w:rsidRPr="00AD406E">
        <w:rPr>
          <w:rFonts w:eastAsia="宋体"/>
          <w:i w:val="0"/>
          <w:iCs w:val="0"/>
          <w:sz w:val="21"/>
          <w:szCs w:val="21"/>
          <w:lang w:val="en-US" w:eastAsia="zh-CN"/>
        </w:rPr>
        <w:t>O</w:t>
      </w:r>
      <w:r w:rsidRPr="00AD406E">
        <w:rPr>
          <w:rFonts w:eastAsia="宋体" w:hint="eastAsia"/>
          <w:i w:val="0"/>
          <w:iCs w:val="0"/>
          <w:sz w:val="21"/>
          <w:szCs w:val="21"/>
          <w:lang w:val="en-US" w:eastAsia="zh-CN"/>
        </w:rPr>
        <w:t>ne PEI configured to indicate POs across multiple PFs</w:t>
      </w:r>
      <w:r w:rsidRPr="00AD406E">
        <w:rPr>
          <w:rFonts w:eastAsia="宋体"/>
          <w:i w:val="0"/>
          <w:iCs w:val="0"/>
          <w:sz w:val="21"/>
          <w:szCs w:val="21"/>
          <w:lang w:val="en-US" w:eastAsia="zh-CN"/>
        </w:rPr>
        <w:t xml:space="preserve"> should be supported</w:t>
      </w:r>
      <w:r w:rsidRPr="00AD406E">
        <w:rPr>
          <w:rFonts w:eastAsia="宋体" w:hint="eastAsia"/>
          <w:i w:val="0"/>
          <w:iCs w:val="0"/>
          <w:sz w:val="21"/>
          <w:szCs w:val="21"/>
          <w:lang w:val="en-US" w:eastAsia="zh-CN"/>
        </w:rPr>
        <w:t>.</w:t>
      </w:r>
    </w:p>
    <w:p w14:paraId="214677BB" w14:textId="77777777" w:rsidR="00AD406E" w:rsidRDefault="00AD406E" w:rsidP="00AD406E">
      <w:pPr>
        <w:pStyle w:val="YJ-Proposal"/>
        <w:numPr>
          <w:ilvl w:val="0"/>
          <w:numId w:val="20"/>
        </w:numPr>
        <w:spacing w:before="120" w:after="120"/>
        <w:jc w:val="both"/>
      </w:pPr>
      <w:r w:rsidRPr="00AD406E">
        <w:rPr>
          <w:rFonts w:hint="eastAsia"/>
          <w:i w:val="0"/>
          <w:iCs w:val="0"/>
          <w:sz w:val="21"/>
          <w:szCs w:val="21"/>
          <w:lang w:val="en-US" w:eastAsia="zh-CN"/>
        </w:rPr>
        <w:t>The TRS availability indication conveyed by PEI should be supported.</w:t>
      </w:r>
    </w:p>
    <w:p w14:paraId="482D839D" w14:textId="77777777" w:rsidR="00AD406E" w:rsidRPr="00AD406E" w:rsidRDefault="00AD406E" w:rsidP="00AD406E">
      <w:pPr>
        <w:pStyle w:val="YJ-Proposal"/>
        <w:numPr>
          <w:ilvl w:val="0"/>
          <w:numId w:val="20"/>
        </w:numPr>
        <w:spacing w:before="120" w:after="120"/>
        <w:rPr>
          <w:i w:val="0"/>
          <w:iCs w:val="0"/>
        </w:rPr>
      </w:pPr>
      <w:r w:rsidRPr="00AD406E">
        <w:rPr>
          <w:rFonts w:hint="eastAsia"/>
          <w:i w:val="0"/>
          <w:iCs w:val="0"/>
        </w:rPr>
        <w:t xml:space="preserve">The </w:t>
      </w:r>
      <w:r w:rsidRPr="00AD406E">
        <w:rPr>
          <w:rFonts w:hint="eastAsia"/>
          <w:i w:val="0"/>
          <w:iCs w:val="0"/>
          <w:lang w:val="en-US" w:eastAsia="zh-CN"/>
        </w:rPr>
        <w:t>SI change and ETWS</w:t>
      </w:r>
      <w:r w:rsidRPr="00AD406E">
        <w:rPr>
          <w:rFonts w:hint="eastAsia"/>
          <w:i w:val="0"/>
          <w:iCs w:val="0"/>
        </w:rPr>
        <w:t xml:space="preserve"> information carried by PEI</w:t>
      </w:r>
      <w:r w:rsidRPr="00AD406E">
        <w:rPr>
          <w:rFonts w:hint="eastAsia"/>
          <w:i w:val="0"/>
          <w:iCs w:val="0"/>
          <w:lang w:val="en-US" w:eastAsia="zh-CN"/>
        </w:rPr>
        <w:t xml:space="preserve"> should be considered.</w:t>
      </w:r>
    </w:p>
    <w:p w14:paraId="2C83B91B" w14:textId="77777777" w:rsidR="00AD406E" w:rsidRPr="00AD406E" w:rsidRDefault="00AD406E" w:rsidP="00AD406E">
      <w:pPr>
        <w:pStyle w:val="YJ-Proposal"/>
        <w:numPr>
          <w:ilvl w:val="0"/>
          <w:numId w:val="20"/>
        </w:numPr>
        <w:spacing w:before="120" w:after="120"/>
        <w:rPr>
          <w:i w:val="0"/>
          <w:iCs w:val="0"/>
        </w:rPr>
      </w:pPr>
      <w:r w:rsidRPr="00AD406E">
        <w:rPr>
          <w:rFonts w:hint="eastAsia"/>
          <w:i w:val="0"/>
          <w:iCs w:val="0"/>
          <w:lang w:val="en-US" w:eastAsia="zh-CN"/>
        </w:rPr>
        <w:t xml:space="preserve">A bit structure of PEI in Figure </w:t>
      </w:r>
      <w:r w:rsidRPr="00AD406E">
        <w:rPr>
          <w:i w:val="0"/>
          <w:iCs w:val="0"/>
          <w:lang w:val="en-US" w:eastAsia="zh-CN"/>
        </w:rPr>
        <w:t>1</w:t>
      </w:r>
      <w:r w:rsidRPr="00AD406E">
        <w:rPr>
          <w:rFonts w:hint="eastAsia"/>
          <w:i w:val="0"/>
          <w:iCs w:val="0"/>
          <w:lang w:val="en-US" w:eastAsia="zh-CN"/>
        </w:rPr>
        <w:t xml:space="preserve"> can be supported.</w:t>
      </w:r>
    </w:p>
    <w:p w14:paraId="0762F205" w14:textId="77777777" w:rsidR="00AD406E" w:rsidRPr="00AD406E" w:rsidRDefault="00AD406E" w:rsidP="00AD406E">
      <w:pPr>
        <w:pStyle w:val="YJ-Proposal"/>
        <w:numPr>
          <w:ilvl w:val="0"/>
          <w:numId w:val="20"/>
        </w:numPr>
        <w:spacing w:before="120" w:after="120"/>
        <w:jc w:val="both"/>
        <w:rPr>
          <w:i w:val="0"/>
          <w:iCs w:val="0"/>
          <w:szCs w:val="21"/>
        </w:rPr>
      </w:pPr>
      <w:r w:rsidRPr="00AD406E">
        <w:rPr>
          <w:rFonts w:hint="eastAsia"/>
          <w:i w:val="0"/>
          <w:iCs w:val="0"/>
          <w:szCs w:val="21"/>
          <w:lang w:val="en-US" w:eastAsia="zh-CN"/>
        </w:rPr>
        <w:t>Alt 3,</w:t>
      </w:r>
      <w:r w:rsidRPr="00AD406E">
        <w:rPr>
          <w:i w:val="0"/>
          <w:iCs w:val="0"/>
          <w:szCs w:val="21"/>
          <w:lang w:val="en-US" w:eastAsia="zh-CN"/>
        </w:rPr>
        <w:t xml:space="preserve"> i.e.,</w:t>
      </w:r>
      <w:r w:rsidRPr="00AD406E">
        <w:rPr>
          <w:rFonts w:hint="eastAsia"/>
          <w:i w:val="0"/>
          <w:iCs w:val="0"/>
          <w:szCs w:val="21"/>
          <w:lang w:val="en-US" w:eastAsia="zh-CN"/>
        </w:rPr>
        <w:t xml:space="preserve"> </w:t>
      </w:r>
      <w:r w:rsidRPr="00AD406E">
        <w:rPr>
          <w:i w:val="0"/>
          <w:iCs w:val="0"/>
          <w:szCs w:val="21"/>
          <w:lang w:val="en-US" w:eastAsia="zh-CN"/>
        </w:rPr>
        <w:t>the determination of</w:t>
      </w:r>
      <w:r w:rsidRPr="00AD406E">
        <w:rPr>
          <w:rFonts w:hint="eastAsia"/>
          <w:i w:val="0"/>
          <w:iCs w:val="0"/>
          <w:szCs w:val="21"/>
          <w:lang w:val="en-US" w:eastAsia="zh-CN"/>
        </w:rPr>
        <w:t xml:space="preserve"> the PEI-O location by a</w:t>
      </w:r>
      <w:r w:rsidRPr="00AD406E">
        <w:rPr>
          <w:i w:val="0"/>
          <w:iCs w:val="0"/>
          <w:szCs w:val="21"/>
          <w:lang w:val="en-US" w:eastAsia="zh-CN"/>
        </w:rPr>
        <w:t>n</w:t>
      </w:r>
      <w:r w:rsidRPr="00AD406E">
        <w:rPr>
          <w:rFonts w:hint="eastAsia"/>
          <w:i w:val="0"/>
          <w:iCs w:val="0"/>
          <w:szCs w:val="21"/>
          <w:lang w:val="en-US" w:eastAsia="zh-CN"/>
        </w:rPr>
        <w:t xml:space="preserve"> offset </w:t>
      </w:r>
      <w:r w:rsidRPr="00AD406E">
        <w:rPr>
          <w:i w:val="0"/>
          <w:iCs w:val="0"/>
          <w:szCs w:val="21"/>
          <w:lang w:val="en-US" w:eastAsia="zh-CN"/>
        </w:rPr>
        <w:t xml:space="preserve">for </w:t>
      </w:r>
      <w:r w:rsidRPr="00AD406E">
        <w:rPr>
          <w:rFonts w:hint="eastAsia"/>
          <w:i w:val="0"/>
          <w:iCs w:val="0"/>
          <w:szCs w:val="21"/>
          <w:lang w:val="en-US" w:eastAsia="zh-CN"/>
        </w:rPr>
        <w:t>the target PO</w:t>
      </w:r>
      <w:r w:rsidRPr="00AD406E">
        <w:rPr>
          <w:i w:val="0"/>
          <w:iCs w:val="0"/>
          <w:szCs w:val="21"/>
          <w:lang w:val="en-US" w:eastAsia="zh-CN"/>
        </w:rPr>
        <w:t xml:space="preserve"> should be adopted</w:t>
      </w:r>
      <w:r w:rsidRPr="00AD406E">
        <w:rPr>
          <w:rFonts w:hint="eastAsia"/>
          <w:i w:val="0"/>
          <w:iCs w:val="0"/>
          <w:szCs w:val="21"/>
          <w:lang w:val="en-US" w:eastAsia="zh-CN"/>
        </w:rPr>
        <w:t>.</w:t>
      </w:r>
    </w:p>
    <w:p w14:paraId="79EB55CC" w14:textId="77777777" w:rsidR="00AD406E" w:rsidRPr="00AD406E" w:rsidRDefault="00AD406E" w:rsidP="00AD406E">
      <w:pPr>
        <w:pStyle w:val="YJ-Proposal"/>
        <w:numPr>
          <w:ilvl w:val="0"/>
          <w:numId w:val="20"/>
        </w:numPr>
        <w:spacing w:before="120" w:after="120"/>
        <w:jc w:val="both"/>
        <w:rPr>
          <w:i w:val="0"/>
          <w:iCs w:val="0"/>
          <w:szCs w:val="21"/>
          <w:lang w:val="en-US" w:eastAsia="zh-CN"/>
        </w:rPr>
      </w:pPr>
      <w:r w:rsidRPr="00AD406E">
        <w:rPr>
          <w:rFonts w:hint="eastAsia"/>
          <w:i w:val="0"/>
          <w:iCs w:val="0"/>
          <w:szCs w:val="21"/>
          <w:lang w:val="en-US" w:eastAsia="zh-CN"/>
        </w:rPr>
        <w:t xml:space="preserve">The occurrence of SSB between the PEI and the PO can be considered to </w:t>
      </w:r>
      <w:r w:rsidRPr="00AD406E">
        <w:rPr>
          <w:i w:val="0"/>
          <w:iCs w:val="0"/>
          <w:szCs w:val="21"/>
          <w:lang w:val="en-US" w:eastAsia="zh-CN"/>
        </w:rPr>
        <w:t>provide</w:t>
      </w:r>
      <w:r w:rsidRPr="00AD406E">
        <w:rPr>
          <w:rFonts w:hint="eastAsia"/>
          <w:i w:val="0"/>
          <w:iCs w:val="0"/>
          <w:szCs w:val="21"/>
          <w:lang w:val="en-US" w:eastAsia="zh-CN"/>
        </w:rPr>
        <w:t xml:space="preserve"> a la</w:t>
      </w:r>
      <w:r w:rsidRPr="00AD406E">
        <w:rPr>
          <w:i w:val="0"/>
          <w:iCs w:val="0"/>
          <w:szCs w:val="21"/>
          <w:lang w:val="en-US" w:eastAsia="zh-CN"/>
        </w:rPr>
        <w:t>r</w:t>
      </w:r>
      <w:r w:rsidRPr="00AD406E">
        <w:rPr>
          <w:rFonts w:hint="eastAsia"/>
          <w:i w:val="0"/>
          <w:iCs w:val="0"/>
          <w:szCs w:val="21"/>
          <w:lang w:val="en-US" w:eastAsia="zh-CN"/>
        </w:rPr>
        <w:t>ger power saving gain.</w:t>
      </w:r>
    </w:p>
    <w:p w14:paraId="5D2491B1" w14:textId="77777777" w:rsidR="00AD406E" w:rsidRPr="00AD406E" w:rsidRDefault="00AD406E" w:rsidP="00AD406E">
      <w:pPr>
        <w:pStyle w:val="YJ-Proposal"/>
        <w:numPr>
          <w:ilvl w:val="0"/>
          <w:numId w:val="20"/>
        </w:numPr>
        <w:spacing w:before="120" w:after="120"/>
        <w:jc w:val="both"/>
        <w:rPr>
          <w:i w:val="0"/>
          <w:iCs w:val="0"/>
          <w:szCs w:val="21"/>
          <w:lang w:val="en-US" w:eastAsia="zh-CN"/>
        </w:rPr>
      </w:pPr>
      <w:r w:rsidRPr="00AD406E">
        <w:rPr>
          <w:i w:val="0"/>
          <w:iCs w:val="0"/>
          <w:szCs w:val="21"/>
          <w:lang w:val="en-US" w:eastAsia="zh-CN"/>
        </w:rPr>
        <w:t>The aggregation levels</w:t>
      </w:r>
      <w:r w:rsidRPr="00AD406E">
        <w:rPr>
          <w:rFonts w:hint="eastAsia"/>
          <w:i w:val="0"/>
          <w:iCs w:val="0"/>
          <w:szCs w:val="21"/>
          <w:lang w:val="en-US" w:eastAsia="zh-CN"/>
        </w:rPr>
        <w:t xml:space="preserve"> and candidate</w:t>
      </w:r>
      <w:r w:rsidRPr="00AD406E">
        <w:rPr>
          <w:i w:val="0"/>
          <w:iCs w:val="0"/>
          <w:szCs w:val="21"/>
          <w:lang w:val="en-US" w:eastAsia="zh-CN"/>
        </w:rPr>
        <w:t xml:space="preserve">s </w:t>
      </w:r>
      <w:r w:rsidRPr="00AD406E">
        <w:rPr>
          <w:rFonts w:hint="eastAsia"/>
          <w:i w:val="0"/>
          <w:iCs w:val="0"/>
          <w:szCs w:val="21"/>
          <w:lang w:val="en-US" w:eastAsia="zh-CN"/>
        </w:rPr>
        <w:t>of Type0/0A/2-PDCCH CSS</w:t>
      </w:r>
      <w:r w:rsidRPr="00AD406E">
        <w:rPr>
          <w:i w:val="0"/>
          <w:iCs w:val="0"/>
          <w:szCs w:val="21"/>
          <w:lang w:val="en-US" w:eastAsia="zh-CN"/>
        </w:rPr>
        <w:t xml:space="preserve"> can be reused for PDCCH-based PEI</w:t>
      </w:r>
      <w:r w:rsidRPr="00AD406E">
        <w:rPr>
          <w:rFonts w:hint="eastAsia"/>
          <w:i w:val="0"/>
          <w:iCs w:val="0"/>
          <w:szCs w:val="21"/>
          <w:lang w:val="en-US" w:eastAsia="zh-CN"/>
        </w:rPr>
        <w:t>.</w:t>
      </w:r>
    </w:p>
    <w:p w14:paraId="792D0DF4" w14:textId="33325CDB" w:rsidR="00AD406E" w:rsidRPr="00AD406E" w:rsidRDefault="00AD406E" w:rsidP="00AD406E">
      <w:pPr>
        <w:pStyle w:val="YJ-Proposal"/>
        <w:numPr>
          <w:ilvl w:val="0"/>
          <w:numId w:val="20"/>
        </w:numPr>
        <w:spacing w:before="120" w:after="120"/>
        <w:jc w:val="both"/>
        <w:rPr>
          <w:i w:val="0"/>
          <w:iCs w:val="0"/>
          <w:szCs w:val="21"/>
          <w:lang w:val="en-US" w:eastAsia="zh-CN"/>
        </w:rPr>
      </w:pPr>
      <w:r w:rsidRPr="00AD406E">
        <w:rPr>
          <w:i w:val="0"/>
          <w:iCs w:val="0"/>
          <w:szCs w:val="21"/>
          <w:lang w:val="en-US" w:eastAsia="zh-CN"/>
        </w:rPr>
        <w:t>P-RNTI is supported for PEI.</w:t>
      </w:r>
    </w:p>
    <w:p w14:paraId="401745B8" w14:textId="77777777" w:rsidR="00AD406E" w:rsidRDefault="00AD406E">
      <w:pPr>
        <w:spacing w:before="120" w:after="120"/>
        <w:rPr>
          <w:szCs w:val="22"/>
        </w:rPr>
      </w:pPr>
    </w:p>
    <w:p w14:paraId="182FCC75" w14:textId="77777777" w:rsidR="00FD4B9D" w:rsidRDefault="002B72E7">
      <w:pPr>
        <w:pStyle w:val="1"/>
        <w:spacing w:before="120" w:after="120"/>
        <w:ind w:left="0"/>
        <w:rPr>
          <w:rFonts w:ascii="Times New Roman" w:eastAsia="宋体" w:hAnsi="Times New Roman"/>
          <w:b/>
          <w:bCs/>
          <w:sz w:val="24"/>
          <w:szCs w:val="24"/>
        </w:rPr>
      </w:pPr>
      <w:r>
        <w:rPr>
          <w:rFonts w:ascii="Times New Roman" w:eastAsia="宋体" w:hAnsi="Times New Roman"/>
          <w:b/>
          <w:bCs/>
          <w:sz w:val="24"/>
          <w:szCs w:val="24"/>
        </w:rPr>
        <w:t>References</w:t>
      </w:r>
    </w:p>
    <w:p w14:paraId="7CC3604B" w14:textId="77777777" w:rsidR="00FD4B9D" w:rsidRDefault="002B72E7">
      <w:pPr>
        <w:pStyle w:val="References"/>
        <w:spacing w:before="120" w:after="120"/>
        <w:ind w:left="363" w:hanging="363"/>
        <w:rPr>
          <w:szCs w:val="20"/>
        </w:rPr>
      </w:pPr>
      <w:bookmarkStart w:id="56" w:name="_Ref17466"/>
      <w:r>
        <w:rPr>
          <w:rFonts w:hint="eastAsia"/>
          <w:szCs w:val="20"/>
        </w:rPr>
        <w:t>Chairman's Notes RAN1#106b-e, 3GPP TSG RAN1#106b-e, 2021-10.</w:t>
      </w:r>
    </w:p>
    <w:p w14:paraId="6E521B7F" w14:textId="77777777" w:rsidR="00FD4B9D" w:rsidRDefault="002B72E7">
      <w:pPr>
        <w:pStyle w:val="References"/>
        <w:spacing w:before="120" w:after="120"/>
        <w:ind w:left="363" w:hanging="363"/>
        <w:rPr>
          <w:szCs w:val="20"/>
        </w:rPr>
      </w:pPr>
      <w:r>
        <w:rPr>
          <w:rFonts w:hint="eastAsia"/>
          <w:szCs w:val="20"/>
        </w:rPr>
        <w:t>Chairman's Notes RAN1#105-e, 3GPP TSG RAN1#105-e, 2021-06.</w:t>
      </w:r>
    </w:p>
    <w:p w14:paraId="5EF5D9E3" w14:textId="77777777" w:rsidR="00FD4B9D" w:rsidRDefault="002B72E7">
      <w:pPr>
        <w:pStyle w:val="References"/>
        <w:spacing w:before="120" w:after="120"/>
        <w:ind w:left="363" w:hanging="363"/>
        <w:rPr>
          <w:szCs w:val="20"/>
        </w:rPr>
      </w:pPr>
      <w:r>
        <w:rPr>
          <w:rFonts w:hint="eastAsia"/>
          <w:szCs w:val="20"/>
        </w:rPr>
        <w:t>R1-2110939, Additional simulation results of UE power consumption in RRC idle and inactive state, ZTE, Sanechips, 2021-11.</w:t>
      </w:r>
    </w:p>
    <w:bookmarkEnd w:id="56"/>
    <w:p w14:paraId="671BCB55" w14:textId="77777777" w:rsidR="00FD4B9D" w:rsidRDefault="00FD4B9D">
      <w:pPr>
        <w:pStyle w:val="References"/>
        <w:numPr>
          <w:ilvl w:val="0"/>
          <w:numId w:val="0"/>
        </w:numPr>
        <w:spacing w:before="120" w:after="120"/>
        <w:rPr>
          <w:szCs w:val="20"/>
        </w:rPr>
      </w:pPr>
    </w:p>
    <w:p w14:paraId="30547916" w14:textId="77777777" w:rsidR="00FD4B9D" w:rsidRDefault="002B72E7">
      <w:pPr>
        <w:spacing w:before="120" w:after="120" w:line="260" w:lineRule="auto"/>
        <w:jc w:val="center"/>
        <w:rPr>
          <w:sz w:val="20"/>
        </w:rPr>
      </w:pPr>
      <w:r>
        <w:t xml:space="preserve"> </w:t>
      </w:r>
    </w:p>
    <w:p w14:paraId="33B6087A" w14:textId="77777777" w:rsidR="00FD4B9D" w:rsidRDefault="00FD4B9D">
      <w:pPr>
        <w:spacing w:beforeLines="0" w:afterLines="0"/>
        <w:jc w:val="left"/>
      </w:pPr>
    </w:p>
    <w:sectPr w:rsidR="00FD4B9D">
      <w:headerReference w:type="even" r:id="rId18"/>
      <w:headerReference w:type="default" r:id="rId19"/>
      <w:footerReference w:type="even" r:id="rId20"/>
      <w:footerReference w:type="default" r:id="rId21"/>
      <w:headerReference w:type="first" r:id="rId22"/>
      <w:footerReference w:type="first" r:id="rId23"/>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C7607D" w14:textId="77777777" w:rsidR="00F213B2" w:rsidRDefault="00F213B2">
      <w:pPr>
        <w:spacing w:before="120" w:after="120" w:line="240" w:lineRule="auto"/>
      </w:pPr>
      <w:r>
        <w:separator/>
      </w:r>
    </w:p>
  </w:endnote>
  <w:endnote w:type="continuationSeparator" w:id="0">
    <w:p w14:paraId="61DE9804" w14:textId="77777777" w:rsidR="00F213B2" w:rsidRDefault="00F213B2">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icrosoft YaHei UI">
    <w:panose1 w:val="020B0503020204020204"/>
    <w:charset w:val="86"/>
    <w:family w:val="swiss"/>
    <w:pitch w:val="variable"/>
    <w:sig w:usb0="80000287" w:usb1="28CF3C52" w:usb2="00000016" w:usb3="00000000" w:csb0="0004001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微软雅黑"/>
    <w:charset w:val="86"/>
    <w:family w:val="auto"/>
    <w:pitch w:val="default"/>
    <w:sig w:usb0="00000000" w:usb1="00000000" w:usb2="00000016" w:usb3="00000000" w:csb0="0004000F" w:csb1="00000000"/>
  </w:font>
  <w:font w:name="Times">
    <w:altName w:val="Times New Roman"/>
    <w:panose1 w:val="02020603050405020304"/>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5700FE" w14:textId="77777777" w:rsidR="00FD4B9D" w:rsidRDefault="00FD4B9D">
    <w:pPr>
      <w:pStyle w:val="a6"/>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CF7730" w14:textId="77777777" w:rsidR="00FD4B9D" w:rsidRDefault="002B72E7">
    <w:pPr>
      <w:pStyle w:val="a6"/>
      <w:spacing w:before="120" w:after="120"/>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289F9C9" w14:textId="77777777" w:rsidR="00FD4B9D" w:rsidRDefault="002B72E7">
                          <w:pPr>
                            <w:pStyle w:val="a6"/>
                            <w:spacing w:before="120" w:after="120"/>
                          </w:pPr>
                          <w:r>
                            <w:rPr>
                              <w:rFonts w:hint="eastAsia"/>
                            </w:rPr>
                            <w:fldChar w:fldCharType="begin"/>
                          </w:r>
                          <w:r>
                            <w:rPr>
                              <w:rFonts w:hint="eastAsia"/>
                            </w:rPr>
                            <w:instrText xml:space="preserve"> PAGE  \* MERGEFORMAT </w:instrText>
                          </w:r>
                          <w:r>
                            <w:rPr>
                              <w:rFonts w:hint="eastAsia"/>
                            </w:rPr>
                            <w:fldChar w:fldCharType="separate"/>
                          </w:r>
                          <w:r w:rsidR="00AD406E">
                            <w:rPr>
                              <w:noProof/>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14:paraId="6289F9C9" w14:textId="77777777" w:rsidR="00FD4B9D" w:rsidRDefault="002B72E7">
                    <w:pPr>
                      <w:pStyle w:val="a6"/>
                      <w:spacing w:before="120" w:after="120"/>
                    </w:pPr>
                    <w:r>
                      <w:rPr>
                        <w:rFonts w:hint="eastAsia"/>
                      </w:rPr>
                      <w:fldChar w:fldCharType="begin"/>
                    </w:r>
                    <w:r>
                      <w:rPr>
                        <w:rFonts w:hint="eastAsia"/>
                      </w:rPr>
                      <w:instrText xml:space="preserve"> PAGE  \* MERGEFORMAT </w:instrText>
                    </w:r>
                    <w:r>
                      <w:rPr>
                        <w:rFonts w:hint="eastAsia"/>
                      </w:rPr>
                      <w:fldChar w:fldCharType="separate"/>
                    </w:r>
                    <w:r w:rsidR="00AD406E">
                      <w:rPr>
                        <w:noProof/>
                      </w:rPr>
                      <w:t>1</w:t>
                    </w:r>
                    <w:r>
                      <w:rPr>
                        <w:rFonts w:hint="eastAsia"/>
                      </w:rPr>
                      <w:fldChar w:fldCharType="end"/>
                    </w:r>
                  </w:p>
                </w:txbxContent>
              </v:textbox>
              <w10:wrap anchorx="margin"/>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563814" w14:textId="77777777" w:rsidR="00FD4B9D" w:rsidRDefault="00FD4B9D">
    <w:pPr>
      <w:pStyle w:val="a6"/>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4F8DF2" w14:textId="77777777" w:rsidR="00F213B2" w:rsidRDefault="00F213B2">
      <w:pPr>
        <w:spacing w:before="120" w:after="120" w:line="240" w:lineRule="auto"/>
      </w:pPr>
      <w:r>
        <w:separator/>
      </w:r>
    </w:p>
  </w:footnote>
  <w:footnote w:type="continuationSeparator" w:id="0">
    <w:p w14:paraId="6B5C4A95" w14:textId="77777777" w:rsidR="00F213B2" w:rsidRDefault="00F213B2">
      <w:pPr>
        <w:spacing w:before="120" w:after="12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32CF82" w14:textId="77777777" w:rsidR="00FD4B9D" w:rsidRDefault="00FD4B9D">
    <w:pPr>
      <w:pStyle w:val="a7"/>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EAAAC" w14:textId="77777777" w:rsidR="00FD4B9D" w:rsidRDefault="00FD4B9D">
    <w:pPr>
      <w:pStyle w:val="a7"/>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C77C53" w14:textId="77777777" w:rsidR="00FD4B9D" w:rsidRDefault="00FD4B9D">
    <w:pPr>
      <w:pStyle w:val="a7"/>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val="0"/>
        <w:iCs w:val="0"/>
        <w:sz w:val="21"/>
        <w:szCs w:val="21"/>
      </w:rPr>
    </w:lvl>
  </w:abstractNum>
  <w:abstractNum w:abstractNumId="1">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2">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nsid w:val="E12E41F1"/>
    <w:multiLevelType w:val="singleLevel"/>
    <w:tmpl w:val="E12E41F1"/>
    <w:lvl w:ilvl="0">
      <w:start w:val="1"/>
      <w:numFmt w:val="bullet"/>
      <w:lvlText w:val=""/>
      <w:lvlJc w:val="left"/>
      <w:pPr>
        <w:ind w:left="420" w:hanging="420"/>
      </w:pPr>
      <w:rPr>
        <w:rFonts w:ascii="Wingdings" w:hAnsi="Wingdings" w:hint="default"/>
      </w:rPr>
    </w:lvl>
  </w:abstractNum>
  <w:abstractNum w:abstractNumId="4">
    <w:nsid w:val="09712630"/>
    <w:multiLevelType w:val="singleLevel"/>
    <w:tmpl w:val="09712630"/>
    <w:lvl w:ilvl="0">
      <w:start w:val="1"/>
      <w:numFmt w:val="bullet"/>
      <w:lvlText w:val=""/>
      <w:lvlJc w:val="left"/>
      <w:pPr>
        <w:ind w:left="420" w:hanging="420"/>
      </w:pPr>
      <w:rPr>
        <w:rFonts w:ascii="Wingdings" w:hAnsi="Wingdings" w:hint="default"/>
      </w:rPr>
    </w:lvl>
  </w:abstractNum>
  <w:abstractNum w:abstractNumId="5">
    <w:nsid w:val="0BDD5F2B"/>
    <w:multiLevelType w:val="multilevel"/>
    <w:tmpl w:val="31306D6C"/>
    <w:lvl w:ilvl="0">
      <w:start w:val="1"/>
      <w:numFmt w:val="decimal"/>
      <w:pStyle w:val="1"/>
      <w:suff w:val="nothing"/>
      <w:lvlText w:val="%1  "/>
      <w:lvlJc w:val="left"/>
      <w:pPr>
        <w:ind w:left="4962" w:firstLine="0"/>
      </w:pPr>
      <w:rPr>
        <w:rFonts w:ascii="Times New Roman" w:eastAsia="黑体" w:hAnsi="Times New Roman" w:cs="Times New Roman" w:hint="default"/>
        <w:b/>
        <w:bCs/>
        <w:i w:val="0"/>
        <w:sz w:val="24"/>
        <w:szCs w:val="24"/>
        <w:lang w:val="en-US"/>
      </w:rPr>
    </w:lvl>
    <w:lvl w:ilvl="1">
      <w:start w:val="1"/>
      <w:numFmt w:val="decimal"/>
      <w:pStyle w:val="2"/>
      <w:suff w:val="nothing"/>
      <w:lvlText w:val="%1.%2  "/>
      <w:lvlJc w:val="left"/>
      <w:pPr>
        <w:ind w:left="993" w:firstLine="0"/>
      </w:pPr>
      <w:rPr>
        <w:rFonts w:ascii="Times New Roman" w:hAnsi="Times New Roman" w:cs="Times New Roman" w:hint="default"/>
        <w:b/>
        <w:bCs/>
        <w:i w:val="0"/>
        <w:iCs w:val="0"/>
        <w:caps w:val="0"/>
        <w:smallCaps w:val="0"/>
        <w:strike w:val="0"/>
        <w:dstrike w:val="0"/>
        <w:vanish w:val="0"/>
        <w:color w:val="000000"/>
        <w:spacing w:val="0"/>
        <w:kern w:val="0"/>
        <w:position w:val="0"/>
        <w:sz w:val="22"/>
        <w:szCs w:val="22"/>
        <w:u w:val="none"/>
        <w:vertAlign w:val="baseline"/>
      </w:rPr>
    </w:lvl>
    <w:lvl w:ilvl="2">
      <w:start w:val="1"/>
      <w:numFmt w:val="decimal"/>
      <w:pStyle w:val="3"/>
      <w:suff w:val="nothing"/>
      <w:lvlText w:val="%1.%2.%3  "/>
      <w:lvlJc w:val="left"/>
      <w:pPr>
        <w:ind w:left="426" w:firstLine="0"/>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 w:val="22"/>
        <w:szCs w:val="22"/>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num" w:pos="3828"/>
        </w:tabs>
        <w:ind w:left="3828" w:hanging="312"/>
      </w:pPr>
      <w:rPr>
        <w:rFonts w:ascii="Arial" w:hAnsi="Arial" w:hint="default"/>
        <w:b w:val="0"/>
        <w:i w:val="0"/>
        <w:sz w:val="21"/>
        <w:szCs w:val="21"/>
      </w:rPr>
    </w:lvl>
    <w:lvl w:ilvl="5">
      <w:start w:val="1"/>
      <w:numFmt w:val="lowerLetter"/>
      <w:lvlText w:val="%6)"/>
      <w:lvlJc w:val="left"/>
      <w:pPr>
        <w:tabs>
          <w:tab w:val="num" w:pos="3828"/>
        </w:tabs>
        <w:ind w:left="3828" w:hanging="312"/>
      </w:pPr>
      <w:rPr>
        <w:rFonts w:ascii="Times New Roman" w:eastAsia="宋体" w:hAnsi="Times New Roman" w:cs="Times New Roman" w:hint="eastAsia"/>
        <w:b w:val="0"/>
        <w:i w:val="0"/>
        <w:sz w:val="21"/>
        <w:szCs w:val="21"/>
      </w:rPr>
    </w:lvl>
    <w:lvl w:ilvl="6">
      <w:start w:val="1"/>
      <w:numFmt w:val="lowerLetter"/>
      <w:lvlText w:val="%7."/>
      <w:lvlJc w:val="left"/>
      <w:pPr>
        <w:tabs>
          <w:tab w:val="num"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Times New Roman" w:eastAsia="黑体" w:hAnsi="Times New Roman" w:cs="Times New Roman"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6">
    <w:nsid w:val="26BE0D74"/>
    <w:multiLevelType w:val="multilevel"/>
    <w:tmpl w:val="26BE0D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nsid w:val="463A60C9"/>
    <w:multiLevelType w:val="multilevel"/>
    <w:tmpl w:val="463A60C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10">
    <w:nsid w:val="57103B0D"/>
    <w:multiLevelType w:val="multilevel"/>
    <w:tmpl w:val="57103B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687E0833"/>
    <w:multiLevelType w:val="multilevel"/>
    <w:tmpl w:val="687E0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6E841FF0"/>
    <w:multiLevelType w:val="multilevel"/>
    <w:tmpl w:val="6E841FF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nsid w:val="7344357E"/>
    <w:multiLevelType w:val="singleLevel"/>
    <w:tmpl w:val="7344357E"/>
    <w:lvl w:ilvl="0">
      <w:start w:val="1"/>
      <w:numFmt w:val="bullet"/>
      <w:lvlText w:val=""/>
      <w:lvlJc w:val="left"/>
      <w:pPr>
        <w:ind w:left="420" w:hanging="420"/>
      </w:pPr>
      <w:rPr>
        <w:rFonts w:ascii="Wingdings" w:hAnsi="Wingdings" w:hint="default"/>
        <w:sz w:val="10"/>
        <w:szCs w:val="10"/>
      </w:rPr>
    </w:lvl>
  </w:abstractNum>
  <w:abstractNum w:abstractNumId="14">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5"/>
  </w:num>
  <w:num w:numId="2">
    <w:abstractNumId w:val="0"/>
  </w:num>
  <w:num w:numId="3">
    <w:abstractNumId w:val="2"/>
  </w:num>
  <w:num w:numId="4">
    <w:abstractNumId w:val="14"/>
  </w:num>
  <w:num w:numId="5">
    <w:abstractNumId w:val="1"/>
  </w:num>
  <w:num w:numId="6">
    <w:abstractNumId w:val="9"/>
  </w:num>
  <w:num w:numId="7">
    <w:abstractNumId w:val="7"/>
  </w:num>
  <w:num w:numId="8">
    <w:abstractNumId w:val="12"/>
  </w:num>
  <w:num w:numId="9">
    <w:abstractNumId w:val="6"/>
  </w:num>
  <w:num w:numId="10">
    <w:abstractNumId w:val="11"/>
  </w:num>
  <w:num w:numId="11">
    <w:abstractNumId w:val="10"/>
  </w:num>
  <w:num w:numId="12">
    <w:abstractNumId w:val="4"/>
  </w:num>
  <w:num w:numId="13">
    <w:abstractNumId w:val="8"/>
  </w:num>
  <w:num w:numId="14">
    <w:abstractNumId w:val="13"/>
  </w:num>
  <w:num w:numId="15">
    <w:abstractNumId w:val="5"/>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2"/>
  </w:num>
  <w:num w:numId="19">
    <w:abstractNumId w:val="5"/>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2"/>
    </w:lvlOverride>
    <w:lvlOverride w:ilvl="8">
      <w:startOverride w:val="1"/>
    </w:lvlOverride>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7CB"/>
    <w:rsid w:val="00011B0F"/>
    <w:rsid w:val="00012E89"/>
    <w:rsid w:val="00013735"/>
    <w:rsid w:val="00015154"/>
    <w:rsid w:val="00015BFB"/>
    <w:rsid w:val="00015EDB"/>
    <w:rsid w:val="00026E93"/>
    <w:rsid w:val="00035796"/>
    <w:rsid w:val="00042B43"/>
    <w:rsid w:val="00042E39"/>
    <w:rsid w:val="0004491B"/>
    <w:rsid w:val="00064D22"/>
    <w:rsid w:val="000658C9"/>
    <w:rsid w:val="000777BE"/>
    <w:rsid w:val="00080105"/>
    <w:rsid w:val="00093915"/>
    <w:rsid w:val="0009787C"/>
    <w:rsid w:val="000A0061"/>
    <w:rsid w:val="000A6B3B"/>
    <w:rsid w:val="000B63CC"/>
    <w:rsid w:val="000C7C50"/>
    <w:rsid w:val="000D07D4"/>
    <w:rsid w:val="000D26FB"/>
    <w:rsid w:val="000E501F"/>
    <w:rsid w:val="000F3475"/>
    <w:rsid w:val="000F65FF"/>
    <w:rsid w:val="000F72AD"/>
    <w:rsid w:val="001034DA"/>
    <w:rsid w:val="0010617D"/>
    <w:rsid w:val="001163CA"/>
    <w:rsid w:val="00140557"/>
    <w:rsid w:val="001452CB"/>
    <w:rsid w:val="001506E9"/>
    <w:rsid w:val="00166DD7"/>
    <w:rsid w:val="001674E9"/>
    <w:rsid w:val="00172A27"/>
    <w:rsid w:val="00193EC2"/>
    <w:rsid w:val="0019443E"/>
    <w:rsid w:val="001B6A16"/>
    <w:rsid w:val="001C396E"/>
    <w:rsid w:val="001E4ADD"/>
    <w:rsid w:val="001E68D2"/>
    <w:rsid w:val="00200427"/>
    <w:rsid w:val="002040EC"/>
    <w:rsid w:val="00204BEB"/>
    <w:rsid w:val="00217072"/>
    <w:rsid w:val="00217F41"/>
    <w:rsid w:val="002217CD"/>
    <w:rsid w:val="002254E5"/>
    <w:rsid w:val="00235CA8"/>
    <w:rsid w:val="002460EB"/>
    <w:rsid w:val="00265F10"/>
    <w:rsid w:val="00266EB2"/>
    <w:rsid w:val="0026734A"/>
    <w:rsid w:val="00272E7B"/>
    <w:rsid w:val="002854DD"/>
    <w:rsid w:val="00291E13"/>
    <w:rsid w:val="00292BDC"/>
    <w:rsid w:val="0029479C"/>
    <w:rsid w:val="002A1851"/>
    <w:rsid w:val="002A24E4"/>
    <w:rsid w:val="002B3F85"/>
    <w:rsid w:val="002B4EB7"/>
    <w:rsid w:val="002B532D"/>
    <w:rsid w:val="002B72E7"/>
    <w:rsid w:val="002C06E5"/>
    <w:rsid w:val="002C1973"/>
    <w:rsid w:val="002C39E2"/>
    <w:rsid w:val="002D37B3"/>
    <w:rsid w:val="002F25AA"/>
    <w:rsid w:val="00303048"/>
    <w:rsid w:val="00311DAC"/>
    <w:rsid w:val="00326050"/>
    <w:rsid w:val="00331B1C"/>
    <w:rsid w:val="00331EF2"/>
    <w:rsid w:val="00334743"/>
    <w:rsid w:val="00354570"/>
    <w:rsid w:val="003565E9"/>
    <w:rsid w:val="00365D66"/>
    <w:rsid w:val="00367434"/>
    <w:rsid w:val="00367EF9"/>
    <w:rsid w:val="00370C23"/>
    <w:rsid w:val="00371CBB"/>
    <w:rsid w:val="00375A07"/>
    <w:rsid w:val="003766C6"/>
    <w:rsid w:val="00377BC5"/>
    <w:rsid w:val="00380742"/>
    <w:rsid w:val="00385802"/>
    <w:rsid w:val="00396ADB"/>
    <w:rsid w:val="003A103D"/>
    <w:rsid w:val="003A7E56"/>
    <w:rsid w:val="003B1149"/>
    <w:rsid w:val="003B217C"/>
    <w:rsid w:val="003C31D2"/>
    <w:rsid w:val="003D1DD7"/>
    <w:rsid w:val="003D2C54"/>
    <w:rsid w:val="003E38AE"/>
    <w:rsid w:val="003E4BBB"/>
    <w:rsid w:val="003E4FEE"/>
    <w:rsid w:val="003F4FBC"/>
    <w:rsid w:val="004265D0"/>
    <w:rsid w:val="004326F4"/>
    <w:rsid w:val="00441FB9"/>
    <w:rsid w:val="00443103"/>
    <w:rsid w:val="0044362B"/>
    <w:rsid w:val="00452AB6"/>
    <w:rsid w:val="00453986"/>
    <w:rsid w:val="0045623B"/>
    <w:rsid w:val="00461AA7"/>
    <w:rsid w:val="00462DF1"/>
    <w:rsid w:val="00476112"/>
    <w:rsid w:val="00483003"/>
    <w:rsid w:val="004834D4"/>
    <w:rsid w:val="00493873"/>
    <w:rsid w:val="00496216"/>
    <w:rsid w:val="004A5821"/>
    <w:rsid w:val="004A78E2"/>
    <w:rsid w:val="004C05FA"/>
    <w:rsid w:val="004C1151"/>
    <w:rsid w:val="004C7FE3"/>
    <w:rsid w:val="004D0363"/>
    <w:rsid w:val="004F1990"/>
    <w:rsid w:val="004F342B"/>
    <w:rsid w:val="004F7324"/>
    <w:rsid w:val="00500199"/>
    <w:rsid w:val="00503141"/>
    <w:rsid w:val="00517339"/>
    <w:rsid w:val="005212D2"/>
    <w:rsid w:val="005228C9"/>
    <w:rsid w:val="00522A39"/>
    <w:rsid w:val="0052624F"/>
    <w:rsid w:val="005420CA"/>
    <w:rsid w:val="005436CE"/>
    <w:rsid w:val="005439D4"/>
    <w:rsid w:val="00546231"/>
    <w:rsid w:val="00564D5A"/>
    <w:rsid w:val="005650A3"/>
    <w:rsid w:val="00566FDE"/>
    <w:rsid w:val="005802EF"/>
    <w:rsid w:val="00583697"/>
    <w:rsid w:val="0058704C"/>
    <w:rsid w:val="00594202"/>
    <w:rsid w:val="00594E48"/>
    <w:rsid w:val="00597ADE"/>
    <w:rsid w:val="005B065E"/>
    <w:rsid w:val="005B1CD4"/>
    <w:rsid w:val="005D14DB"/>
    <w:rsid w:val="005E6D49"/>
    <w:rsid w:val="005F1A12"/>
    <w:rsid w:val="005F38D1"/>
    <w:rsid w:val="005F3D0F"/>
    <w:rsid w:val="00602586"/>
    <w:rsid w:val="0062153B"/>
    <w:rsid w:val="0062167D"/>
    <w:rsid w:val="00633C6F"/>
    <w:rsid w:val="0063757E"/>
    <w:rsid w:val="006432A2"/>
    <w:rsid w:val="00643612"/>
    <w:rsid w:val="00645E5F"/>
    <w:rsid w:val="00671B8B"/>
    <w:rsid w:val="00677C91"/>
    <w:rsid w:val="0068648D"/>
    <w:rsid w:val="006970AA"/>
    <w:rsid w:val="006A072C"/>
    <w:rsid w:val="006B021A"/>
    <w:rsid w:val="006B10CB"/>
    <w:rsid w:val="006B2721"/>
    <w:rsid w:val="006B63E2"/>
    <w:rsid w:val="006C1ED6"/>
    <w:rsid w:val="006C61BF"/>
    <w:rsid w:val="006D3CB8"/>
    <w:rsid w:val="006D42B1"/>
    <w:rsid w:val="006E3C24"/>
    <w:rsid w:val="006E69D1"/>
    <w:rsid w:val="006F0B4C"/>
    <w:rsid w:val="006F7D0E"/>
    <w:rsid w:val="0070654E"/>
    <w:rsid w:val="00711D48"/>
    <w:rsid w:val="00712A5E"/>
    <w:rsid w:val="00713810"/>
    <w:rsid w:val="007166E8"/>
    <w:rsid w:val="0074089D"/>
    <w:rsid w:val="00746009"/>
    <w:rsid w:val="007476DD"/>
    <w:rsid w:val="00751A1E"/>
    <w:rsid w:val="00772085"/>
    <w:rsid w:val="00781710"/>
    <w:rsid w:val="00795FC2"/>
    <w:rsid w:val="007A0C1E"/>
    <w:rsid w:val="007A24B9"/>
    <w:rsid w:val="007A5CFF"/>
    <w:rsid w:val="007B0734"/>
    <w:rsid w:val="007B379C"/>
    <w:rsid w:val="007C5B79"/>
    <w:rsid w:val="007C6A0A"/>
    <w:rsid w:val="007E53B8"/>
    <w:rsid w:val="007F5FF3"/>
    <w:rsid w:val="007F6B9D"/>
    <w:rsid w:val="008026B7"/>
    <w:rsid w:val="00812554"/>
    <w:rsid w:val="00817DE9"/>
    <w:rsid w:val="00825A92"/>
    <w:rsid w:val="00830ED1"/>
    <w:rsid w:val="00832C17"/>
    <w:rsid w:val="00847916"/>
    <w:rsid w:val="00856229"/>
    <w:rsid w:val="008615F3"/>
    <w:rsid w:val="00862777"/>
    <w:rsid w:val="008632D8"/>
    <w:rsid w:val="008650A2"/>
    <w:rsid w:val="0087435E"/>
    <w:rsid w:val="008776C3"/>
    <w:rsid w:val="00880E89"/>
    <w:rsid w:val="008830C7"/>
    <w:rsid w:val="00894AD9"/>
    <w:rsid w:val="008A0205"/>
    <w:rsid w:val="008A05C1"/>
    <w:rsid w:val="008B1BC6"/>
    <w:rsid w:val="008B7017"/>
    <w:rsid w:val="008B7CB0"/>
    <w:rsid w:val="008B7DB1"/>
    <w:rsid w:val="008C1A97"/>
    <w:rsid w:val="008C3050"/>
    <w:rsid w:val="008C329B"/>
    <w:rsid w:val="008C72D3"/>
    <w:rsid w:val="008D1D47"/>
    <w:rsid w:val="008D230F"/>
    <w:rsid w:val="008D38A0"/>
    <w:rsid w:val="008D54B2"/>
    <w:rsid w:val="008E0B96"/>
    <w:rsid w:val="008E587D"/>
    <w:rsid w:val="008E617E"/>
    <w:rsid w:val="008F11DE"/>
    <w:rsid w:val="0090147B"/>
    <w:rsid w:val="00907CB9"/>
    <w:rsid w:val="0091556B"/>
    <w:rsid w:val="00930332"/>
    <w:rsid w:val="00931643"/>
    <w:rsid w:val="00933B85"/>
    <w:rsid w:val="00942505"/>
    <w:rsid w:val="00953CDE"/>
    <w:rsid w:val="0096044C"/>
    <w:rsid w:val="009864C8"/>
    <w:rsid w:val="009917E6"/>
    <w:rsid w:val="00992CAA"/>
    <w:rsid w:val="0099436F"/>
    <w:rsid w:val="009944AA"/>
    <w:rsid w:val="009C4832"/>
    <w:rsid w:val="009D0920"/>
    <w:rsid w:val="009D1C4D"/>
    <w:rsid w:val="009D1E4F"/>
    <w:rsid w:val="009D3E62"/>
    <w:rsid w:val="009E3CEF"/>
    <w:rsid w:val="00A027EF"/>
    <w:rsid w:val="00A02943"/>
    <w:rsid w:val="00A03B7D"/>
    <w:rsid w:val="00A06031"/>
    <w:rsid w:val="00A12F88"/>
    <w:rsid w:val="00A14FF2"/>
    <w:rsid w:val="00A15FD1"/>
    <w:rsid w:val="00A4166A"/>
    <w:rsid w:val="00A46CC4"/>
    <w:rsid w:val="00A54D0B"/>
    <w:rsid w:val="00A57F9E"/>
    <w:rsid w:val="00A669D4"/>
    <w:rsid w:val="00A8126A"/>
    <w:rsid w:val="00A878AE"/>
    <w:rsid w:val="00A92636"/>
    <w:rsid w:val="00A941B0"/>
    <w:rsid w:val="00AA6E04"/>
    <w:rsid w:val="00AB21DC"/>
    <w:rsid w:val="00AD406E"/>
    <w:rsid w:val="00AD4752"/>
    <w:rsid w:val="00AE5669"/>
    <w:rsid w:val="00AF28E3"/>
    <w:rsid w:val="00AF7C15"/>
    <w:rsid w:val="00B27FD4"/>
    <w:rsid w:val="00B35BD3"/>
    <w:rsid w:val="00B61CE0"/>
    <w:rsid w:val="00B66332"/>
    <w:rsid w:val="00B75373"/>
    <w:rsid w:val="00B81A6F"/>
    <w:rsid w:val="00B87930"/>
    <w:rsid w:val="00B9484C"/>
    <w:rsid w:val="00BA715F"/>
    <w:rsid w:val="00BC22AE"/>
    <w:rsid w:val="00BD47B2"/>
    <w:rsid w:val="00BD52A6"/>
    <w:rsid w:val="00BD6309"/>
    <w:rsid w:val="00BE559C"/>
    <w:rsid w:val="00BE5EFB"/>
    <w:rsid w:val="00BE641D"/>
    <w:rsid w:val="00BF1E7C"/>
    <w:rsid w:val="00BF4B0E"/>
    <w:rsid w:val="00C039ED"/>
    <w:rsid w:val="00C073E1"/>
    <w:rsid w:val="00C134B6"/>
    <w:rsid w:val="00C137DB"/>
    <w:rsid w:val="00C166BC"/>
    <w:rsid w:val="00C17EF0"/>
    <w:rsid w:val="00C239A8"/>
    <w:rsid w:val="00C23EBF"/>
    <w:rsid w:val="00C27740"/>
    <w:rsid w:val="00C37341"/>
    <w:rsid w:val="00C406CC"/>
    <w:rsid w:val="00C51FCC"/>
    <w:rsid w:val="00C57F2A"/>
    <w:rsid w:val="00C637DC"/>
    <w:rsid w:val="00C66968"/>
    <w:rsid w:val="00C67B31"/>
    <w:rsid w:val="00C67F5E"/>
    <w:rsid w:val="00C774C8"/>
    <w:rsid w:val="00C77FEA"/>
    <w:rsid w:val="00C91D7F"/>
    <w:rsid w:val="00CA1DBD"/>
    <w:rsid w:val="00CA51B3"/>
    <w:rsid w:val="00CA6701"/>
    <w:rsid w:val="00CB2B6E"/>
    <w:rsid w:val="00CB7131"/>
    <w:rsid w:val="00CC4532"/>
    <w:rsid w:val="00CD29F4"/>
    <w:rsid w:val="00CD3761"/>
    <w:rsid w:val="00CD6102"/>
    <w:rsid w:val="00CD71E1"/>
    <w:rsid w:val="00CE1AD7"/>
    <w:rsid w:val="00D01D40"/>
    <w:rsid w:val="00D11131"/>
    <w:rsid w:val="00D20A97"/>
    <w:rsid w:val="00D26B1F"/>
    <w:rsid w:val="00D40D01"/>
    <w:rsid w:val="00D40D43"/>
    <w:rsid w:val="00D50681"/>
    <w:rsid w:val="00D50800"/>
    <w:rsid w:val="00D5574F"/>
    <w:rsid w:val="00D62C07"/>
    <w:rsid w:val="00D70ECB"/>
    <w:rsid w:val="00D9619E"/>
    <w:rsid w:val="00DA1F59"/>
    <w:rsid w:val="00DA5F51"/>
    <w:rsid w:val="00DB0ACF"/>
    <w:rsid w:val="00DB1073"/>
    <w:rsid w:val="00DB6BD7"/>
    <w:rsid w:val="00DC0F8B"/>
    <w:rsid w:val="00DD4B55"/>
    <w:rsid w:val="00DF1617"/>
    <w:rsid w:val="00E06B21"/>
    <w:rsid w:val="00E2140B"/>
    <w:rsid w:val="00E31E1F"/>
    <w:rsid w:val="00E40569"/>
    <w:rsid w:val="00E40E07"/>
    <w:rsid w:val="00E56DD3"/>
    <w:rsid w:val="00E61B28"/>
    <w:rsid w:val="00E62A3D"/>
    <w:rsid w:val="00E67314"/>
    <w:rsid w:val="00E7336C"/>
    <w:rsid w:val="00E75926"/>
    <w:rsid w:val="00E77887"/>
    <w:rsid w:val="00E817AF"/>
    <w:rsid w:val="00E857BF"/>
    <w:rsid w:val="00E85B8C"/>
    <w:rsid w:val="00EA4E8D"/>
    <w:rsid w:val="00EA62E5"/>
    <w:rsid w:val="00EA76D3"/>
    <w:rsid w:val="00EB3AAE"/>
    <w:rsid w:val="00EC0827"/>
    <w:rsid w:val="00EC1F01"/>
    <w:rsid w:val="00EE2CF6"/>
    <w:rsid w:val="00F01154"/>
    <w:rsid w:val="00F213B2"/>
    <w:rsid w:val="00F4095D"/>
    <w:rsid w:val="00F40E52"/>
    <w:rsid w:val="00F455F2"/>
    <w:rsid w:val="00F469A1"/>
    <w:rsid w:val="00F60223"/>
    <w:rsid w:val="00F765F4"/>
    <w:rsid w:val="00F82AFD"/>
    <w:rsid w:val="00F958CC"/>
    <w:rsid w:val="00F97C0B"/>
    <w:rsid w:val="00FA359D"/>
    <w:rsid w:val="00FA3BED"/>
    <w:rsid w:val="00FA552B"/>
    <w:rsid w:val="00FA62E6"/>
    <w:rsid w:val="00FB5ABE"/>
    <w:rsid w:val="00FD2DE4"/>
    <w:rsid w:val="00FD4B9D"/>
    <w:rsid w:val="00FE01EF"/>
    <w:rsid w:val="00FE4365"/>
    <w:rsid w:val="00FF0673"/>
    <w:rsid w:val="00FF1E19"/>
    <w:rsid w:val="00FF2B35"/>
    <w:rsid w:val="00FF2D5B"/>
    <w:rsid w:val="01166C39"/>
    <w:rsid w:val="011C748B"/>
    <w:rsid w:val="01307DB8"/>
    <w:rsid w:val="01764F01"/>
    <w:rsid w:val="019E0494"/>
    <w:rsid w:val="01BC6EAA"/>
    <w:rsid w:val="01BD387A"/>
    <w:rsid w:val="01EA1306"/>
    <w:rsid w:val="01ED62FC"/>
    <w:rsid w:val="01FA595F"/>
    <w:rsid w:val="01FD3C72"/>
    <w:rsid w:val="022371D7"/>
    <w:rsid w:val="024D6B6A"/>
    <w:rsid w:val="02585A0D"/>
    <w:rsid w:val="026B46B1"/>
    <w:rsid w:val="029B04E7"/>
    <w:rsid w:val="02B53888"/>
    <w:rsid w:val="02F172AC"/>
    <w:rsid w:val="03073BDC"/>
    <w:rsid w:val="032134E9"/>
    <w:rsid w:val="0337268E"/>
    <w:rsid w:val="033F44DC"/>
    <w:rsid w:val="035F75A4"/>
    <w:rsid w:val="037B5FB5"/>
    <w:rsid w:val="03915DEB"/>
    <w:rsid w:val="03985ACE"/>
    <w:rsid w:val="03D4716A"/>
    <w:rsid w:val="042900C9"/>
    <w:rsid w:val="04A45057"/>
    <w:rsid w:val="04EE0CCB"/>
    <w:rsid w:val="0555228E"/>
    <w:rsid w:val="055870D1"/>
    <w:rsid w:val="056C3AED"/>
    <w:rsid w:val="058A1330"/>
    <w:rsid w:val="059D1E39"/>
    <w:rsid w:val="05E078B3"/>
    <w:rsid w:val="064035FC"/>
    <w:rsid w:val="066A2ACD"/>
    <w:rsid w:val="066F1ED1"/>
    <w:rsid w:val="06D01934"/>
    <w:rsid w:val="070C599D"/>
    <w:rsid w:val="07250881"/>
    <w:rsid w:val="072B5A2B"/>
    <w:rsid w:val="07322F8B"/>
    <w:rsid w:val="07587973"/>
    <w:rsid w:val="075E42FF"/>
    <w:rsid w:val="077D0583"/>
    <w:rsid w:val="077E373B"/>
    <w:rsid w:val="079724D0"/>
    <w:rsid w:val="07A3082E"/>
    <w:rsid w:val="08146476"/>
    <w:rsid w:val="082A352F"/>
    <w:rsid w:val="084343C9"/>
    <w:rsid w:val="084D0ADD"/>
    <w:rsid w:val="084E1E18"/>
    <w:rsid w:val="08581907"/>
    <w:rsid w:val="088E2DBB"/>
    <w:rsid w:val="089D5DBC"/>
    <w:rsid w:val="08B05670"/>
    <w:rsid w:val="08C349D1"/>
    <w:rsid w:val="08C805D7"/>
    <w:rsid w:val="08CC0D13"/>
    <w:rsid w:val="09082337"/>
    <w:rsid w:val="093D6246"/>
    <w:rsid w:val="094A5FC4"/>
    <w:rsid w:val="0993533A"/>
    <w:rsid w:val="09BE4947"/>
    <w:rsid w:val="09F67CD5"/>
    <w:rsid w:val="0A7B50B4"/>
    <w:rsid w:val="0A8A3FFF"/>
    <w:rsid w:val="0B2A6186"/>
    <w:rsid w:val="0B3D5147"/>
    <w:rsid w:val="0B6B20A7"/>
    <w:rsid w:val="0B9E71DF"/>
    <w:rsid w:val="0BB427D1"/>
    <w:rsid w:val="0BCD5C26"/>
    <w:rsid w:val="0BF10670"/>
    <w:rsid w:val="0C6F272A"/>
    <w:rsid w:val="0C9036C8"/>
    <w:rsid w:val="0C9D30C2"/>
    <w:rsid w:val="0CA126F2"/>
    <w:rsid w:val="0CA646D0"/>
    <w:rsid w:val="0CEA509E"/>
    <w:rsid w:val="0D2F3891"/>
    <w:rsid w:val="0D426E1A"/>
    <w:rsid w:val="0D823D14"/>
    <w:rsid w:val="0D9D65F4"/>
    <w:rsid w:val="0DEE7CA5"/>
    <w:rsid w:val="0E172BD0"/>
    <w:rsid w:val="0E1F6EEE"/>
    <w:rsid w:val="0E347579"/>
    <w:rsid w:val="0E6A1ECE"/>
    <w:rsid w:val="0E6E2422"/>
    <w:rsid w:val="0E8F0168"/>
    <w:rsid w:val="0E9B4F32"/>
    <w:rsid w:val="0EBF3080"/>
    <w:rsid w:val="0EC34966"/>
    <w:rsid w:val="0F0B4FFE"/>
    <w:rsid w:val="0F123F4C"/>
    <w:rsid w:val="0F1E67DB"/>
    <w:rsid w:val="0F7D1115"/>
    <w:rsid w:val="0F9861DB"/>
    <w:rsid w:val="0FA67E91"/>
    <w:rsid w:val="0FD80B60"/>
    <w:rsid w:val="0FDB5B48"/>
    <w:rsid w:val="10860503"/>
    <w:rsid w:val="109076CE"/>
    <w:rsid w:val="10A50104"/>
    <w:rsid w:val="10A85FA8"/>
    <w:rsid w:val="10B658BE"/>
    <w:rsid w:val="10BA5ACA"/>
    <w:rsid w:val="10C92880"/>
    <w:rsid w:val="10FA22E3"/>
    <w:rsid w:val="115B3410"/>
    <w:rsid w:val="117A531D"/>
    <w:rsid w:val="119D7849"/>
    <w:rsid w:val="11AC1F75"/>
    <w:rsid w:val="122658B9"/>
    <w:rsid w:val="1242135C"/>
    <w:rsid w:val="1256212E"/>
    <w:rsid w:val="12836E1B"/>
    <w:rsid w:val="12AE3906"/>
    <w:rsid w:val="12C76FC6"/>
    <w:rsid w:val="12CB14EC"/>
    <w:rsid w:val="12D00DD7"/>
    <w:rsid w:val="13344428"/>
    <w:rsid w:val="133C5CE2"/>
    <w:rsid w:val="133E78E9"/>
    <w:rsid w:val="133F535B"/>
    <w:rsid w:val="13660260"/>
    <w:rsid w:val="136C3D77"/>
    <w:rsid w:val="139D335C"/>
    <w:rsid w:val="13A1683F"/>
    <w:rsid w:val="13C2790D"/>
    <w:rsid w:val="13E5601F"/>
    <w:rsid w:val="14084ECC"/>
    <w:rsid w:val="141B6583"/>
    <w:rsid w:val="14400B3F"/>
    <w:rsid w:val="1442596B"/>
    <w:rsid w:val="144714E3"/>
    <w:rsid w:val="146A0337"/>
    <w:rsid w:val="14AC00B9"/>
    <w:rsid w:val="14D55B5C"/>
    <w:rsid w:val="14DA3DA1"/>
    <w:rsid w:val="14EE199C"/>
    <w:rsid w:val="14FC2402"/>
    <w:rsid w:val="1505370E"/>
    <w:rsid w:val="15284EB8"/>
    <w:rsid w:val="155F3495"/>
    <w:rsid w:val="156D495A"/>
    <w:rsid w:val="15715C2E"/>
    <w:rsid w:val="15BB7E2E"/>
    <w:rsid w:val="164B2296"/>
    <w:rsid w:val="16AF6E20"/>
    <w:rsid w:val="17025890"/>
    <w:rsid w:val="17155857"/>
    <w:rsid w:val="173B456E"/>
    <w:rsid w:val="17950508"/>
    <w:rsid w:val="17C72718"/>
    <w:rsid w:val="17ED4CC9"/>
    <w:rsid w:val="18537599"/>
    <w:rsid w:val="18551679"/>
    <w:rsid w:val="188D68E8"/>
    <w:rsid w:val="189C69D9"/>
    <w:rsid w:val="18A34D06"/>
    <w:rsid w:val="18A72928"/>
    <w:rsid w:val="18BA0CC4"/>
    <w:rsid w:val="18C87C77"/>
    <w:rsid w:val="18F90C9A"/>
    <w:rsid w:val="19010C43"/>
    <w:rsid w:val="19013AC7"/>
    <w:rsid w:val="19084C73"/>
    <w:rsid w:val="194A0457"/>
    <w:rsid w:val="194F6F37"/>
    <w:rsid w:val="196018AD"/>
    <w:rsid w:val="196E5824"/>
    <w:rsid w:val="19713DD4"/>
    <w:rsid w:val="19AF5AFD"/>
    <w:rsid w:val="19BF7943"/>
    <w:rsid w:val="19C81F03"/>
    <w:rsid w:val="19EE20E8"/>
    <w:rsid w:val="1A054259"/>
    <w:rsid w:val="1A097942"/>
    <w:rsid w:val="1ACB6909"/>
    <w:rsid w:val="1B0152D1"/>
    <w:rsid w:val="1B2B6940"/>
    <w:rsid w:val="1B5838BD"/>
    <w:rsid w:val="1B7F6005"/>
    <w:rsid w:val="1BA05608"/>
    <w:rsid w:val="1BAF4E35"/>
    <w:rsid w:val="1BAF6DD1"/>
    <w:rsid w:val="1BE82D8F"/>
    <w:rsid w:val="1C0F5C4A"/>
    <w:rsid w:val="1C132CB9"/>
    <w:rsid w:val="1C346C57"/>
    <w:rsid w:val="1CAA2901"/>
    <w:rsid w:val="1CB92F89"/>
    <w:rsid w:val="1CCC26CA"/>
    <w:rsid w:val="1D133E21"/>
    <w:rsid w:val="1D3A10D4"/>
    <w:rsid w:val="1D6041FB"/>
    <w:rsid w:val="1D61520F"/>
    <w:rsid w:val="1D786BCA"/>
    <w:rsid w:val="1D805936"/>
    <w:rsid w:val="1D843FB0"/>
    <w:rsid w:val="1DA83A0D"/>
    <w:rsid w:val="1DDF2ACE"/>
    <w:rsid w:val="1E94181D"/>
    <w:rsid w:val="1E9D6342"/>
    <w:rsid w:val="1EBF09C1"/>
    <w:rsid w:val="1ECD4B11"/>
    <w:rsid w:val="1ED879BC"/>
    <w:rsid w:val="1EED420F"/>
    <w:rsid w:val="1EF17B6F"/>
    <w:rsid w:val="1F4C62AC"/>
    <w:rsid w:val="1F6170A9"/>
    <w:rsid w:val="1F6200DE"/>
    <w:rsid w:val="1F652C38"/>
    <w:rsid w:val="1F9C5BBE"/>
    <w:rsid w:val="1FC21C25"/>
    <w:rsid w:val="1FE14460"/>
    <w:rsid w:val="20200CA4"/>
    <w:rsid w:val="203063E1"/>
    <w:rsid w:val="204E6676"/>
    <w:rsid w:val="205C6F65"/>
    <w:rsid w:val="205F334B"/>
    <w:rsid w:val="20920951"/>
    <w:rsid w:val="20AA7DFE"/>
    <w:rsid w:val="20CB576A"/>
    <w:rsid w:val="20DC4C14"/>
    <w:rsid w:val="210634E6"/>
    <w:rsid w:val="21241A3D"/>
    <w:rsid w:val="215416B9"/>
    <w:rsid w:val="21822343"/>
    <w:rsid w:val="2194141D"/>
    <w:rsid w:val="2195668B"/>
    <w:rsid w:val="21A2535F"/>
    <w:rsid w:val="21A9601A"/>
    <w:rsid w:val="21AC0BE7"/>
    <w:rsid w:val="21BE044A"/>
    <w:rsid w:val="21BE5AD4"/>
    <w:rsid w:val="21C347A3"/>
    <w:rsid w:val="21CA2BAC"/>
    <w:rsid w:val="224E2FB0"/>
    <w:rsid w:val="228860D2"/>
    <w:rsid w:val="22C67434"/>
    <w:rsid w:val="22C84A78"/>
    <w:rsid w:val="23081A49"/>
    <w:rsid w:val="23460B97"/>
    <w:rsid w:val="23A82A04"/>
    <w:rsid w:val="23D11AFC"/>
    <w:rsid w:val="24210188"/>
    <w:rsid w:val="243066C8"/>
    <w:rsid w:val="24582DBC"/>
    <w:rsid w:val="245C52F8"/>
    <w:rsid w:val="245E5D40"/>
    <w:rsid w:val="2463385E"/>
    <w:rsid w:val="24B3612C"/>
    <w:rsid w:val="24CB3B1A"/>
    <w:rsid w:val="24DC7AA4"/>
    <w:rsid w:val="250D568B"/>
    <w:rsid w:val="25134332"/>
    <w:rsid w:val="25191F5C"/>
    <w:rsid w:val="251E5D80"/>
    <w:rsid w:val="254C3941"/>
    <w:rsid w:val="25572F6C"/>
    <w:rsid w:val="256555F8"/>
    <w:rsid w:val="257E508F"/>
    <w:rsid w:val="25AA2ADA"/>
    <w:rsid w:val="25BF0A19"/>
    <w:rsid w:val="25CA37BB"/>
    <w:rsid w:val="25CB1963"/>
    <w:rsid w:val="25E06614"/>
    <w:rsid w:val="261A61EB"/>
    <w:rsid w:val="266A62E7"/>
    <w:rsid w:val="267E150F"/>
    <w:rsid w:val="26805650"/>
    <w:rsid w:val="26BF5712"/>
    <w:rsid w:val="26C46931"/>
    <w:rsid w:val="26F173AA"/>
    <w:rsid w:val="26F24A28"/>
    <w:rsid w:val="26F71EC7"/>
    <w:rsid w:val="274120CE"/>
    <w:rsid w:val="276D22A6"/>
    <w:rsid w:val="27805ED2"/>
    <w:rsid w:val="27AB7429"/>
    <w:rsid w:val="27B806C7"/>
    <w:rsid w:val="27C0593E"/>
    <w:rsid w:val="27F46C2F"/>
    <w:rsid w:val="27F713BD"/>
    <w:rsid w:val="280D0ABD"/>
    <w:rsid w:val="281418B3"/>
    <w:rsid w:val="285C053E"/>
    <w:rsid w:val="28641BC7"/>
    <w:rsid w:val="28706B14"/>
    <w:rsid w:val="28795D57"/>
    <w:rsid w:val="28CB2F20"/>
    <w:rsid w:val="290A7633"/>
    <w:rsid w:val="2945677B"/>
    <w:rsid w:val="296A164B"/>
    <w:rsid w:val="297D0F5C"/>
    <w:rsid w:val="299711A3"/>
    <w:rsid w:val="29FA7F26"/>
    <w:rsid w:val="2A0F0262"/>
    <w:rsid w:val="2A11490E"/>
    <w:rsid w:val="2A24123C"/>
    <w:rsid w:val="2A7903F8"/>
    <w:rsid w:val="2A9E41A6"/>
    <w:rsid w:val="2AD176E8"/>
    <w:rsid w:val="2B774832"/>
    <w:rsid w:val="2BC93350"/>
    <w:rsid w:val="2BCA1C44"/>
    <w:rsid w:val="2BE1364E"/>
    <w:rsid w:val="2C0A1E9D"/>
    <w:rsid w:val="2C4735A9"/>
    <w:rsid w:val="2C5312D1"/>
    <w:rsid w:val="2C6137E6"/>
    <w:rsid w:val="2C9600AF"/>
    <w:rsid w:val="2C9B39D4"/>
    <w:rsid w:val="2CA1029C"/>
    <w:rsid w:val="2CDB2A32"/>
    <w:rsid w:val="2CE74D9A"/>
    <w:rsid w:val="2CE94FBB"/>
    <w:rsid w:val="2D036243"/>
    <w:rsid w:val="2D11052F"/>
    <w:rsid w:val="2D2713FE"/>
    <w:rsid w:val="2D44389F"/>
    <w:rsid w:val="2D644464"/>
    <w:rsid w:val="2DAA1531"/>
    <w:rsid w:val="2DD31482"/>
    <w:rsid w:val="2DED4837"/>
    <w:rsid w:val="2DF81D7C"/>
    <w:rsid w:val="2DFC12C6"/>
    <w:rsid w:val="2E592BD6"/>
    <w:rsid w:val="2E9F709C"/>
    <w:rsid w:val="2ED53BA8"/>
    <w:rsid w:val="2EED0A13"/>
    <w:rsid w:val="2F031089"/>
    <w:rsid w:val="2F1251F2"/>
    <w:rsid w:val="2F65609A"/>
    <w:rsid w:val="2FBD09F9"/>
    <w:rsid w:val="30660B82"/>
    <w:rsid w:val="30962F3E"/>
    <w:rsid w:val="309F648F"/>
    <w:rsid w:val="30AA51DE"/>
    <w:rsid w:val="30B43BCB"/>
    <w:rsid w:val="30D17E68"/>
    <w:rsid w:val="30E43B67"/>
    <w:rsid w:val="30F776DB"/>
    <w:rsid w:val="30FF2795"/>
    <w:rsid w:val="310E3D65"/>
    <w:rsid w:val="31481061"/>
    <w:rsid w:val="315B1DD7"/>
    <w:rsid w:val="3164591C"/>
    <w:rsid w:val="317F78A7"/>
    <w:rsid w:val="3199741D"/>
    <w:rsid w:val="31A561FB"/>
    <w:rsid w:val="31AA2223"/>
    <w:rsid w:val="31C32453"/>
    <w:rsid w:val="31C63526"/>
    <w:rsid w:val="31FD180E"/>
    <w:rsid w:val="320B4CF3"/>
    <w:rsid w:val="3214373A"/>
    <w:rsid w:val="32547DD1"/>
    <w:rsid w:val="32586AD3"/>
    <w:rsid w:val="327F30CF"/>
    <w:rsid w:val="329A6ACE"/>
    <w:rsid w:val="32AB75FA"/>
    <w:rsid w:val="32C64BD3"/>
    <w:rsid w:val="33490C27"/>
    <w:rsid w:val="334F3544"/>
    <w:rsid w:val="3381016B"/>
    <w:rsid w:val="33834A37"/>
    <w:rsid w:val="338C60CE"/>
    <w:rsid w:val="33A253D1"/>
    <w:rsid w:val="33FF73F9"/>
    <w:rsid w:val="34371266"/>
    <w:rsid w:val="34481409"/>
    <w:rsid w:val="345B1306"/>
    <w:rsid w:val="348D3D32"/>
    <w:rsid w:val="34C215EF"/>
    <w:rsid w:val="34CB6483"/>
    <w:rsid w:val="34EC39C4"/>
    <w:rsid w:val="34FD6C75"/>
    <w:rsid w:val="35191B59"/>
    <w:rsid w:val="35431E06"/>
    <w:rsid w:val="35997ED3"/>
    <w:rsid w:val="35B0594E"/>
    <w:rsid w:val="35C47CF3"/>
    <w:rsid w:val="35D5780F"/>
    <w:rsid w:val="360673D5"/>
    <w:rsid w:val="360B1D73"/>
    <w:rsid w:val="360B7EE7"/>
    <w:rsid w:val="36157D72"/>
    <w:rsid w:val="361F3323"/>
    <w:rsid w:val="364A298F"/>
    <w:rsid w:val="364A7B2B"/>
    <w:rsid w:val="3659312E"/>
    <w:rsid w:val="3681117A"/>
    <w:rsid w:val="36E93760"/>
    <w:rsid w:val="3784394E"/>
    <w:rsid w:val="379B41C4"/>
    <w:rsid w:val="37A62041"/>
    <w:rsid w:val="37F25734"/>
    <w:rsid w:val="380A0B96"/>
    <w:rsid w:val="38337F5B"/>
    <w:rsid w:val="385135F5"/>
    <w:rsid w:val="385F665C"/>
    <w:rsid w:val="388E6551"/>
    <w:rsid w:val="38AE3BB0"/>
    <w:rsid w:val="38DC5505"/>
    <w:rsid w:val="391F7D60"/>
    <w:rsid w:val="392E58B6"/>
    <w:rsid w:val="39496AE3"/>
    <w:rsid w:val="3985660B"/>
    <w:rsid w:val="39BB13DA"/>
    <w:rsid w:val="39DB06B3"/>
    <w:rsid w:val="39F02F21"/>
    <w:rsid w:val="3A127976"/>
    <w:rsid w:val="3A1704BF"/>
    <w:rsid w:val="3A7A43B2"/>
    <w:rsid w:val="3A7E5091"/>
    <w:rsid w:val="3AC2467B"/>
    <w:rsid w:val="3AC253ED"/>
    <w:rsid w:val="3ACB5746"/>
    <w:rsid w:val="3AD258E7"/>
    <w:rsid w:val="3AE826D9"/>
    <w:rsid w:val="3B047F30"/>
    <w:rsid w:val="3B3664CC"/>
    <w:rsid w:val="3B673648"/>
    <w:rsid w:val="3BB20883"/>
    <w:rsid w:val="3BF5659F"/>
    <w:rsid w:val="3C134C38"/>
    <w:rsid w:val="3C394599"/>
    <w:rsid w:val="3C635BF2"/>
    <w:rsid w:val="3C7B540C"/>
    <w:rsid w:val="3C8C0B9E"/>
    <w:rsid w:val="3CE82456"/>
    <w:rsid w:val="3D0527AD"/>
    <w:rsid w:val="3D1D3E8C"/>
    <w:rsid w:val="3D7830E2"/>
    <w:rsid w:val="3D9F080E"/>
    <w:rsid w:val="3DA8275C"/>
    <w:rsid w:val="3DAD7029"/>
    <w:rsid w:val="3DDE6765"/>
    <w:rsid w:val="3E39525D"/>
    <w:rsid w:val="3E441C7D"/>
    <w:rsid w:val="3E7F0554"/>
    <w:rsid w:val="3ECB2614"/>
    <w:rsid w:val="3F104E7C"/>
    <w:rsid w:val="3F105BE8"/>
    <w:rsid w:val="3F1E19C9"/>
    <w:rsid w:val="3F7C38E1"/>
    <w:rsid w:val="3F8D2B60"/>
    <w:rsid w:val="3FC956FF"/>
    <w:rsid w:val="400131B8"/>
    <w:rsid w:val="40151C98"/>
    <w:rsid w:val="402B196F"/>
    <w:rsid w:val="40375763"/>
    <w:rsid w:val="406B12D1"/>
    <w:rsid w:val="40903A47"/>
    <w:rsid w:val="409C0D37"/>
    <w:rsid w:val="40A36A71"/>
    <w:rsid w:val="40CB3E39"/>
    <w:rsid w:val="40D07704"/>
    <w:rsid w:val="40EA5ADE"/>
    <w:rsid w:val="410E4736"/>
    <w:rsid w:val="414D38DC"/>
    <w:rsid w:val="4169226D"/>
    <w:rsid w:val="419752E1"/>
    <w:rsid w:val="41A14CA0"/>
    <w:rsid w:val="41A167F9"/>
    <w:rsid w:val="41BC286E"/>
    <w:rsid w:val="41C577BA"/>
    <w:rsid w:val="41C80CC0"/>
    <w:rsid w:val="41CF08CB"/>
    <w:rsid w:val="41D3631F"/>
    <w:rsid w:val="41F46181"/>
    <w:rsid w:val="41F466FD"/>
    <w:rsid w:val="422B0BD2"/>
    <w:rsid w:val="42380637"/>
    <w:rsid w:val="427E2C9C"/>
    <w:rsid w:val="428434A1"/>
    <w:rsid w:val="42A67A24"/>
    <w:rsid w:val="42B84DF7"/>
    <w:rsid w:val="42D846B9"/>
    <w:rsid w:val="43015D68"/>
    <w:rsid w:val="432B156A"/>
    <w:rsid w:val="433817F8"/>
    <w:rsid w:val="43625625"/>
    <w:rsid w:val="43B97E64"/>
    <w:rsid w:val="43D54F80"/>
    <w:rsid w:val="440D5045"/>
    <w:rsid w:val="4466378D"/>
    <w:rsid w:val="446D6BBF"/>
    <w:rsid w:val="44F5724A"/>
    <w:rsid w:val="4555581D"/>
    <w:rsid w:val="457602B0"/>
    <w:rsid w:val="457D7419"/>
    <w:rsid w:val="45BE6191"/>
    <w:rsid w:val="45BF679F"/>
    <w:rsid w:val="45FE24FC"/>
    <w:rsid w:val="460C5979"/>
    <w:rsid w:val="46AC250E"/>
    <w:rsid w:val="46C56CAD"/>
    <w:rsid w:val="46D23BD7"/>
    <w:rsid w:val="46E90846"/>
    <w:rsid w:val="46FF61C2"/>
    <w:rsid w:val="473430FD"/>
    <w:rsid w:val="4740667C"/>
    <w:rsid w:val="47672D4D"/>
    <w:rsid w:val="4776027E"/>
    <w:rsid w:val="47783DDD"/>
    <w:rsid w:val="47C01792"/>
    <w:rsid w:val="47C215CA"/>
    <w:rsid w:val="47D3679D"/>
    <w:rsid w:val="47DA737E"/>
    <w:rsid w:val="47E73D60"/>
    <w:rsid w:val="47F831A1"/>
    <w:rsid w:val="4808150F"/>
    <w:rsid w:val="482E6C55"/>
    <w:rsid w:val="483841CB"/>
    <w:rsid w:val="48655CDB"/>
    <w:rsid w:val="488A4F97"/>
    <w:rsid w:val="48C169FF"/>
    <w:rsid w:val="48D321B5"/>
    <w:rsid w:val="48DC6BCF"/>
    <w:rsid w:val="4966417F"/>
    <w:rsid w:val="49701211"/>
    <w:rsid w:val="49B751BF"/>
    <w:rsid w:val="49E9233D"/>
    <w:rsid w:val="4A0E40C9"/>
    <w:rsid w:val="4A0E6621"/>
    <w:rsid w:val="4A190059"/>
    <w:rsid w:val="4A2324A9"/>
    <w:rsid w:val="4A2C54FD"/>
    <w:rsid w:val="4A3703C6"/>
    <w:rsid w:val="4AA93BAC"/>
    <w:rsid w:val="4AAD1944"/>
    <w:rsid w:val="4AAE33DD"/>
    <w:rsid w:val="4AC31003"/>
    <w:rsid w:val="4AC66610"/>
    <w:rsid w:val="4AE93159"/>
    <w:rsid w:val="4AF26901"/>
    <w:rsid w:val="4AF8354A"/>
    <w:rsid w:val="4B0B4636"/>
    <w:rsid w:val="4B101FF1"/>
    <w:rsid w:val="4B3B3C56"/>
    <w:rsid w:val="4B6F5171"/>
    <w:rsid w:val="4B894E29"/>
    <w:rsid w:val="4B8A38B7"/>
    <w:rsid w:val="4BD0339A"/>
    <w:rsid w:val="4BE255AD"/>
    <w:rsid w:val="4C154D1E"/>
    <w:rsid w:val="4C1E62FB"/>
    <w:rsid w:val="4C247E4A"/>
    <w:rsid w:val="4C496DB3"/>
    <w:rsid w:val="4C8E2AE9"/>
    <w:rsid w:val="4D2455C6"/>
    <w:rsid w:val="4D462159"/>
    <w:rsid w:val="4D553300"/>
    <w:rsid w:val="4D5C5FAC"/>
    <w:rsid w:val="4D7D6E2D"/>
    <w:rsid w:val="4DA00E6E"/>
    <w:rsid w:val="4DA94618"/>
    <w:rsid w:val="4DBE284B"/>
    <w:rsid w:val="4DC605B6"/>
    <w:rsid w:val="4DD81D4B"/>
    <w:rsid w:val="4DEC0985"/>
    <w:rsid w:val="4DFB4F20"/>
    <w:rsid w:val="4E27683A"/>
    <w:rsid w:val="4E330987"/>
    <w:rsid w:val="4E540431"/>
    <w:rsid w:val="4EC74CC4"/>
    <w:rsid w:val="4EF32FFF"/>
    <w:rsid w:val="4F232A9C"/>
    <w:rsid w:val="4F2765B1"/>
    <w:rsid w:val="4F285975"/>
    <w:rsid w:val="4F5E2A8B"/>
    <w:rsid w:val="4F8E43A5"/>
    <w:rsid w:val="4FBF79AC"/>
    <w:rsid w:val="4FE30CD5"/>
    <w:rsid w:val="50290C55"/>
    <w:rsid w:val="50520EBB"/>
    <w:rsid w:val="50607024"/>
    <w:rsid w:val="506A4F14"/>
    <w:rsid w:val="50701CEF"/>
    <w:rsid w:val="50751061"/>
    <w:rsid w:val="507C5FAD"/>
    <w:rsid w:val="507E3A43"/>
    <w:rsid w:val="50BE2993"/>
    <w:rsid w:val="50D63702"/>
    <w:rsid w:val="50F12C37"/>
    <w:rsid w:val="51101AA1"/>
    <w:rsid w:val="512F1290"/>
    <w:rsid w:val="515C4409"/>
    <w:rsid w:val="51796EDE"/>
    <w:rsid w:val="51867298"/>
    <w:rsid w:val="518D4602"/>
    <w:rsid w:val="521936F1"/>
    <w:rsid w:val="52195EDF"/>
    <w:rsid w:val="52313387"/>
    <w:rsid w:val="523C02D8"/>
    <w:rsid w:val="52480238"/>
    <w:rsid w:val="525767B4"/>
    <w:rsid w:val="52927F08"/>
    <w:rsid w:val="529357CD"/>
    <w:rsid w:val="529526FD"/>
    <w:rsid w:val="52D4333A"/>
    <w:rsid w:val="52E04D27"/>
    <w:rsid w:val="530448FE"/>
    <w:rsid w:val="532E278A"/>
    <w:rsid w:val="53492294"/>
    <w:rsid w:val="539A390F"/>
    <w:rsid w:val="53DB3477"/>
    <w:rsid w:val="54AF6B42"/>
    <w:rsid w:val="54B205EE"/>
    <w:rsid w:val="54E218CB"/>
    <w:rsid w:val="54E44BF8"/>
    <w:rsid w:val="54E80108"/>
    <w:rsid w:val="54FC325C"/>
    <w:rsid w:val="55050D67"/>
    <w:rsid w:val="559C3368"/>
    <w:rsid w:val="55DD6F2A"/>
    <w:rsid w:val="55F72D1E"/>
    <w:rsid w:val="56022FBC"/>
    <w:rsid w:val="561F01EF"/>
    <w:rsid w:val="562805B1"/>
    <w:rsid w:val="56514CF9"/>
    <w:rsid w:val="56553261"/>
    <w:rsid w:val="565975B0"/>
    <w:rsid w:val="568C4BFC"/>
    <w:rsid w:val="56B41A58"/>
    <w:rsid w:val="56BC356A"/>
    <w:rsid w:val="56D577C5"/>
    <w:rsid w:val="56E23970"/>
    <w:rsid w:val="570856B7"/>
    <w:rsid w:val="570C22CF"/>
    <w:rsid w:val="573547FD"/>
    <w:rsid w:val="577A3C7D"/>
    <w:rsid w:val="578F220A"/>
    <w:rsid w:val="5798657F"/>
    <w:rsid w:val="579F0430"/>
    <w:rsid w:val="57B06157"/>
    <w:rsid w:val="57D503EA"/>
    <w:rsid w:val="57FC07D9"/>
    <w:rsid w:val="58500F22"/>
    <w:rsid w:val="58581669"/>
    <w:rsid w:val="58621B9F"/>
    <w:rsid w:val="586E24FB"/>
    <w:rsid w:val="58B82BCC"/>
    <w:rsid w:val="590D1052"/>
    <w:rsid w:val="591B366A"/>
    <w:rsid w:val="591C0009"/>
    <w:rsid w:val="593223A7"/>
    <w:rsid w:val="59610A7F"/>
    <w:rsid w:val="59632256"/>
    <w:rsid w:val="59687D7F"/>
    <w:rsid w:val="59912A3B"/>
    <w:rsid w:val="599C51D2"/>
    <w:rsid w:val="59A353EA"/>
    <w:rsid w:val="59A81F44"/>
    <w:rsid w:val="59A95289"/>
    <w:rsid w:val="59AA2571"/>
    <w:rsid w:val="59B15F48"/>
    <w:rsid w:val="59C600B6"/>
    <w:rsid w:val="59D15A81"/>
    <w:rsid w:val="59F13672"/>
    <w:rsid w:val="5A07523D"/>
    <w:rsid w:val="5A2802D2"/>
    <w:rsid w:val="5A553984"/>
    <w:rsid w:val="5ACF0F3A"/>
    <w:rsid w:val="5AD450DC"/>
    <w:rsid w:val="5AEE752B"/>
    <w:rsid w:val="5B7C1136"/>
    <w:rsid w:val="5B7D506F"/>
    <w:rsid w:val="5BAE4C99"/>
    <w:rsid w:val="5BD20414"/>
    <w:rsid w:val="5BF54BBF"/>
    <w:rsid w:val="5C6B1600"/>
    <w:rsid w:val="5C8B39C5"/>
    <w:rsid w:val="5C921AD0"/>
    <w:rsid w:val="5CAF7180"/>
    <w:rsid w:val="5CC77483"/>
    <w:rsid w:val="5CCD5BE1"/>
    <w:rsid w:val="5CD94ADB"/>
    <w:rsid w:val="5CE45D66"/>
    <w:rsid w:val="5D182295"/>
    <w:rsid w:val="5D237020"/>
    <w:rsid w:val="5D3D3693"/>
    <w:rsid w:val="5D5F741C"/>
    <w:rsid w:val="5DAE151D"/>
    <w:rsid w:val="5DC07B62"/>
    <w:rsid w:val="5DCD07B3"/>
    <w:rsid w:val="5DFD51DB"/>
    <w:rsid w:val="5E0D36E5"/>
    <w:rsid w:val="5E7510E4"/>
    <w:rsid w:val="5EBD3AB4"/>
    <w:rsid w:val="5ED711BC"/>
    <w:rsid w:val="5F0928C0"/>
    <w:rsid w:val="5F0A3BA8"/>
    <w:rsid w:val="5F1A5A71"/>
    <w:rsid w:val="5F3D3A73"/>
    <w:rsid w:val="5F434754"/>
    <w:rsid w:val="5F9E6C40"/>
    <w:rsid w:val="5FE87018"/>
    <w:rsid w:val="602765D8"/>
    <w:rsid w:val="602F201A"/>
    <w:rsid w:val="605F1B37"/>
    <w:rsid w:val="607C3753"/>
    <w:rsid w:val="609578A8"/>
    <w:rsid w:val="60C30855"/>
    <w:rsid w:val="60CC7FFA"/>
    <w:rsid w:val="60E63ED7"/>
    <w:rsid w:val="610B17E6"/>
    <w:rsid w:val="61421EFD"/>
    <w:rsid w:val="615C2588"/>
    <w:rsid w:val="615C5041"/>
    <w:rsid w:val="61834A51"/>
    <w:rsid w:val="61D705BD"/>
    <w:rsid w:val="61DD59E8"/>
    <w:rsid w:val="61E56B7B"/>
    <w:rsid w:val="620A1E9F"/>
    <w:rsid w:val="62420984"/>
    <w:rsid w:val="626A4C35"/>
    <w:rsid w:val="626C4E5F"/>
    <w:rsid w:val="6271154E"/>
    <w:rsid w:val="627D0863"/>
    <w:rsid w:val="62B70B91"/>
    <w:rsid w:val="63206216"/>
    <w:rsid w:val="63305DFA"/>
    <w:rsid w:val="634B3A82"/>
    <w:rsid w:val="63523344"/>
    <w:rsid w:val="63560707"/>
    <w:rsid w:val="6357067F"/>
    <w:rsid w:val="63D03DEE"/>
    <w:rsid w:val="63DD6E9C"/>
    <w:rsid w:val="641A2384"/>
    <w:rsid w:val="642167EE"/>
    <w:rsid w:val="64942803"/>
    <w:rsid w:val="64CB6601"/>
    <w:rsid w:val="64EF3666"/>
    <w:rsid w:val="64FC1880"/>
    <w:rsid w:val="65094EFF"/>
    <w:rsid w:val="651B3798"/>
    <w:rsid w:val="65370CD5"/>
    <w:rsid w:val="655D49E9"/>
    <w:rsid w:val="65847BBF"/>
    <w:rsid w:val="65AD63E7"/>
    <w:rsid w:val="65B57404"/>
    <w:rsid w:val="65B93A8D"/>
    <w:rsid w:val="65CA1E2C"/>
    <w:rsid w:val="65D975AE"/>
    <w:rsid w:val="661746DD"/>
    <w:rsid w:val="664805B8"/>
    <w:rsid w:val="665E34DC"/>
    <w:rsid w:val="66C053F3"/>
    <w:rsid w:val="66CD03F2"/>
    <w:rsid w:val="66D221EE"/>
    <w:rsid w:val="66DA55D7"/>
    <w:rsid w:val="66F82180"/>
    <w:rsid w:val="670F41E0"/>
    <w:rsid w:val="677D25E8"/>
    <w:rsid w:val="677D265C"/>
    <w:rsid w:val="678A787F"/>
    <w:rsid w:val="67AD6B3A"/>
    <w:rsid w:val="67BD0300"/>
    <w:rsid w:val="67D325C4"/>
    <w:rsid w:val="68031C5B"/>
    <w:rsid w:val="682616B3"/>
    <w:rsid w:val="682A4EAB"/>
    <w:rsid w:val="68316174"/>
    <w:rsid w:val="684D34F9"/>
    <w:rsid w:val="68F533A3"/>
    <w:rsid w:val="690453B7"/>
    <w:rsid w:val="690B53E9"/>
    <w:rsid w:val="690F418B"/>
    <w:rsid w:val="69261B08"/>
    <w:rsid w:val="699323D6"/>
    <w:rsid w:val="69B32313"/>
    <w:rsid w:val="69CE4429"/>
    <w:rsid w:val="6A007B68"/>
    <w:rsid w:val="6A0409C8"/>
    <w:rsid w:val="6A700D2B"/>
    <w:rsid w:val="6A741183"/>
    <w:rsid w:val="6A7A2736"/>
    <w:rsid w:val="6A7B4B9C"/>
    <w:rsid w:val="6AA651A8"/>
    <w:rsid w:val="6AB70722"/>
    <w:rsid w:val="6AEB121D"/>
    <w:rsid w:val="6AFB78C4"/>
    <w:rsid w:val="6B004CFA"/>
    <w:rsid w:val="6B120A68"/>
    <w:rsid w:val="6B586E1F"/>
    <w:rsid w:val="6BA33532"/>
    <w:rsid w:val="6BAF5652"/>
    <w:rsid w:val="6C6F4FDA"/>
    <w:rsid w:val="6C842D27"/>
    <w:rsid w:val="6C89456C"/>
    <w:rsid w:val="6CA35C83"/>
    <w:rsid w:val="6CA52710"/>
    <w:rsid w:val="6CAC58B4"/>
    <w:rsid w:val="6D4A2539"/>
    <w:rsid w:val="6D572C9F"/>
    <w:rsid w:val="6D97094D"/>
    <w:rsid w:val="6DAE632B"/>
    <w:rsid w:val="6DBE7D5B"/>
    <w:rsid w:val="6DF009F6"/>
    <w:rsid w:val="6DF9140B"/>
    <w:rsid w:val="6E217EA6"/>
    <w:rsid w:val="6E2666BC"/>
    <w:rsid w:val="6E2F175D"/>
    <w:rsid w:val="6E605E8D"/>
    <w:rsid w:val="6E8959F5"/>
    <w:rsid w:val="6EBC6999"/>
    <w:rsid w:val="6EDF5FC3"/>
    <w:rsid w:val="6EF90D33"/>
    <w:rsid w:val="6F3F60AD"/>
    <w:rsid w:val="6F7A5D4F"/>
    <w:rsid w:val="6F83312B"/>
    <w:rsid w:val="6F901B66"/>
    <w:rsid w:val="6FA629D4"/>
    <w:rsid w:val="6FA70F58"/>
    <w:rsid w:val="6FD10552"/>
    <w:rsid w:val="6FFA3C1B"/>
    <w:rsid w:val="70014D67"/>
    <w:rsid w:val="70117B8A"/>
    <w:rsid w:val="70360B36"/>
    <w:rsid w:val="704F39D7"/>
    <w:rsid w:val="709E0125"/>
    <w:rsid w:val="70BB2EF0"/>
    <w:rsid w:val="70CC6A1F"/>
    <w:rsid w:val="70CE0A84"/>
    <w:rsid w:val="70E10DC3"/>
    <w:rsid w:val="70F054AD"/>
    <w:rsid w:val="71095983"/>
    <w:rsid w:val="712D59A6"/>
    <w:rsid w:val="71402F8B"/>
    <w:rsid w:val="71475ADB"/>
    <w:rsid w:val="717140CF"/>
    <w:rsid w:val="718F10F7"/>
    <w:rsid w:val="71D55C91"/>
    <w:rsid w:val="71DE13EC"/>
    <w:rsid w:val="720E106F"/>
    <w:rsid w:val="722B37CD"/>
    <w:rsid w:val="72305A9A"/>
    <w:rsid w:val="72427DB1"/>
    <w:rsid w:val="726B260D"/>
    <w:rsid w:val="73287A23"/>
    <w:rsid w:val="7331324E"/>
    <w:rsid w:val="733946CF"/>
    <w:rsid w:val="73455C21"/>
    <w:rsid w:val="73710635"/>
    <w:rsid w:val="73BF03A5"/>
    <w:rsid w:val="73D425F7"/>
    <w:rsid w:val="73D6575A"/>
    <w:rsid w:val="73E636C1"/>
    <w:rsid w:val="74600E53"/>
    <w:rsid w:val="746A0CB1"/>
    <w:rsid w:val="74712AFB"/>
    <w:rsid w:val="74994192"/>
    <w:rsid w:val="74A31B48"/>
    <w:rsid w:val="74AD4F44"/>
    <w:rsid w:val="74B76643"/>
    <w:rsid w:val="74BC1C78"/>
    <w:rsid w:val="750A2023"/>
    <w:rsid w:val="75171C24"/>
    <w:rsid w:val="75486E94"/>
    <w:rsid w:val="758D04C2"/>
    <w:rsid w:val="75AD0CCB"/>
    <w:rsid w:val="75C00603"/>
    <w:rsid w:val="75D90D83"/>
    <w:rsid w:val="75E4396D"/>
    <w:rsid w:val="75F020A1"/>
    <w:rsid w:val="7615032B"/>
    <w:rsid w:val="76655349"/>
    <w:rsid w:val="76667A03"/>
    <w:rsid w:val="7676736A"/>
    <w:rsid w:val="768F29EE"/>
    <w:rsid w:val="76926203"/>
    <w:rsid w:val="76933951"/>
    <w:rsid w:val="76F54F87"/>
    <w:rsid w:val="771D661B"/>
    <w:rsid w:val="771F7714"/>
    <w:rsid w:val="77207795"/>
    <w:rsid w:val="773903BD"/>
    <w:rsid w:val="773F662A"/>
    <w:rsid w:val="77617342"/>
    <w:rsid w:val="77890DAA"/>
    <w:rsid w:val="77D835AD"/>
    <w:rsid w:val="77EE2F48"/>
    <w:rsid w:val="77F10205"/>
    <w:rsid w:val="784E332E"/>
    <w:rsid w:val="78782A0D"/>
    <w:rsid w:val="78C57EA9"/>
    <w:rsid w:val="78CA6BEF"/>
    <w:rsid w:val="791A571A"/>
    <w:rsid w:val="79286132"/>
    <w:rsid w:val="796411DB"/>
    <w:rsid w:val="797E392B"/>
    <w:rsid w:val="79A2171F"/>
    <w:rsid w:val="79A252FF"/>
    <w:rsid w:val="79D33056"/>
    <w:rsid w:val="79E119BE"/>
    <w:rsid w:val="79E65B55"/>
    <w:rsid w:val="79E76BC3"/>
    <w:rsid w:val="79F46E3A"/>
    <w:rsid w:val="7A0131C9"/>
    <w:rsid w:val="7A0E722C"/>
    <w:rsid w:val="7A124C14"/>
    <w:rsid w:val="7A475E69"/>
    <w:rsid w:val="7A810C37"/>
    <w:rsid w:val="7ABB10EE"/>
    <w:rsid w:val="7B105707"/>
    <w:rsid w:val="7B302E56"/>
    <w:rsid w:val="7B350C9D"/>
    <w:rsid w:val="7B7D36B3"/>
    <w:rsid w:val="7B9741C7"/>
    <w:rsid w:val="7BD27B88"/>
    <w:rsid w:val="7C0A1E29"/>
    <w:rsid w:val="7C1E1AF3"/>
    <w:rsid w:val="7C26369C"/>
    <w:rsid w:val="7C311CA7"/>
    <w:rsid w:val="7C3933DF"/>
    <w:rsid w:val="7C4A37AF"/>
    <w:rsid w:val="7C590E02"/>
    <w:rsid w:val="7C9E5A24"/>
    <w:rsid w:val="7CAC00CB"/>
    <w:rsid w:val="7CBE2557"/>
    <w:rsid w:val="7CE73C35"/>
    <w:rsid w:val="7D022178"/>
    <w:rsid w:val="7D575412"/>
    <w:rsid w:val="7D62117D"/>
    <w:rsid w:val="7D7E5CB0"/>
    <w:rsid w:val="7D83197B"/>
    <w:rsid w:val="7D9D4B2B"/>
    <w:rsid w:val="7DB3208B"/>
    <w:rsid w:val="7DB5193A"/>
    <w:rsid w:val="7DB54254"/>
    <w:rsid w:val="7E181D7D"/>
    <w:rsid w:val="7E2118A1"/>
    <w:rsid w:val="7E3E1EF2"/>
    <w:rsid w:val="7E4B337A"/>
    <w:rsid w:val="7E5E744E"/>
    <w:rsid w:val="7E951513"/>
    <w:rsid w:val="7EA96AC5"/>
    <w:rsid w:val="7EB06086"/>
    <w:rsid w:val="7EC118B4"/>
    <w:rsid w:val="7EC83404"/>
    <w:rsid w:val="7ED01B68"/>
    <w:rsid w:val="7EF74FC9"/>
    <w:rsid w:val="7F3745CA"/>
    <w:rsid w:val="7F5A59DA"/>
    <w:rsid w:val="7F653669"/>
    <w:rsid w:val="7F750737"/>
    <w:rsid w:val="7F846976"/>
    <w:rsid w:val="7FA01201"/>
    <w:rsid w:val="7FB901DB"/>
    <w:rsid w:val="7FBB72CB"/>
    <w:rsid w:val="7FE11C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060B41B-C5EF-47BF-AF7E-4ACB62EDA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nhideWhenUsed="1" w:qFormat="1"/>
    <w:lsdException w:name="toc 3"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unhideWhenUsed="1" w:qFormat="1"/>
    <w:lsdException w:name="index heading" w:semiHidden="1" w:unhideWhenUsed="1"/>
    <w:lsdException w:name="caption" w:semiHidden="1" w:unhideWhenUsed="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lsdException w:name="HTML Sample" w:semiHidden="1" w:unhideWhenUsed="1" w:qFormat="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Lines="50" w:before="50" w:afterLines="50" w:after="50"/>
      <w:jc w:val="both"/>
    </w:pPr>
    <w:rPr>
      <w:kern w:val="2"/>
      <w:sz w:val="21"/>
    </w:rPr>
  </w:style>
  <w:style w:type="paragraph" w:styleId="1">
    <w:name w:val="heading 1"/>
    <w:basedOn w:val="a"/>
    <w:next w:val="a"/>
    <w:qFormat/>
    <w:pPr>
      <w:keepNext/>
      <w:keepLines/>
      <w:numPr>
        <w:numId w:val="15"/>
      </w:numPr>
      <w:pBdr>
        <w:top w:val="single" w:sz="12" w:space="3" w:color="auto"/>
      </w:pBdr>
      <w:outlineLvl w:val="0"/>
    </w:pPr>
    <w:rPr>
      <w:rFonts w:ascii="Arial" w:eastAsia="MS Mincho" w:hAnsi="Arial"/>
      <w:sz w:val="32"/>
    </w:rPr>
  </w:style>
  <w:style w:type="paragraph" w:styleId="2">
    <w:name w:val="heading 2"/>
    <w:basedOn w:val="1"/>
    <w:next w:val="a"/>
    <w:qFormat/>
    <w:pPr>
      <w:numPr>
        <w:ilvl w:val="1"/>
      </w:numPr>
      <w:pBdr>
        <w:top w:val="none" w:sz="0" w:space="0" w:color="auto"/>
      </w:pBdr>
      <w:spacing w:before="180"/>
      <w:ind w:rightChars="100" w:right="100"/>
      <w:outlineLvl w:val="1"/>
    </w:pPr>
    <w:rPr>
      <w:sz w:val="28"/>
    </w:rPr>
  </w:style>
  <w:style w:type="paragraph" w:styleId="3">
    <w:name w:val="heading 3"/>
    <w:basedOn w:val="2"/>
    <w:next w:val="a"/>
    <w:qFormat/>
    <w:pPr>
      <w:numPr>
        <w:ilvl w:val="2"/>
      </w:numPr>
      <w:spacing w:before="12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semiHidden/>
    <w:qFormat/>
  </w:style>
  <w:style w:type="paragraph" w:styleId="a4">
    <w:name w:val="Body Text"/>
    <w:basedOn w:val="a"/>
    <w:qFormat/>
  </w:style>
  <w:style w:type="paragraph" w:styleId="30">
    <w:name w:val="toc 3"/>
    <w:basedOn w:val="a"/>
    <w:next w:val="a"/>
    <w:uiPriority w:val="99"/>
    <w:unhideWhenUsed/>
    <w:qFormat/>
    <w:pPr>
      <w:adjustRightInd w:val="0"/>
      <w:ind w:leftChars="400" w:left="1282" w:hangingChars="200" w:hanging="442"/>
    </w:pPr>
    <w:rPr>
      <w:b/>
      <w:i/>
      <w:sz w:val="20"/>
    </w:rPr>
  </w:style>
  <w:style w:type="paragraph" w:styleId="a5">
    <w:name w:val="Balloon Text"/>
    <w:basedOn w:val="a"/>
    <w:link w:val="Char0"/>
    <w:uiPriority w:val="99"/>
    <w:semiHidden/>
    <w:unhideWhenUsed/>
    <w:qFormat/>
    <w:pPr>
      <w:spacing w:before="0" w:after="0" w:line="240" w:lineRule="auto"/>
    </w:pPr>
    <w:rPr>
      <w:rFonts w:ascii="Microsoft YaHei UI" w:eastAsia="Microsoft YaHei UI"/>
      <w:sz w:val="18"/>
      <w:szCs w:val="18"/>
    </w:rPr>
  </w:style>
  <w:style w:type="paragraph" w:styleId="a6">
    <w:name w:val="footer"/>
    <w:basedOn w:val="a"/>
    <w:uiPriority w:val="99"/>
    <w:unhideWhenUsed/>
    <w:qFormat/>
    <w:pPr>
      <w:tabs>
        <w:tab w:val="center" w:pos="4153"/>
        <w:tab w:val="right" w:pos="8306"/>
      </w:tabs>
      <w:snapToGrid w:val="0"/>
      <w:jc w:val="left"/>
    </w:pPr>
    <w:rPr>
      <w:sz w:val="18"/>
      <w:szCs w:val="18"/>
    </w:rPr>
  </w:style>
  <w:style w:type="paragraph" w:styleId="a7">
    <w:name w:val="header"/>
    <w:basedOn w:val="a"/>
    <w:link w:val="Char1"/>
    <w:semiHidden/>
    <w:qFormat/>
    <w:pPr>
      <w:tabs>
        <w:tab w:val="center" w:pos="4680"/>
        <w:tab w:val="right" w:pos="9360"/>
      </w:tabs>
      <w:spacing w:before="0" w:after="0" w:line="240" w:lineRule="auto"/>
    </w:pPr>
  </w:style>
  <w:style w:type="paragraph" w:styleId="10">
    <w:name w:val="toc 1"/>
    <w:basedOn w:val="a"/>
    <w:next w:val="a"/>
    <w:uiPriority w:val="39"/>
    <w:unhideWhenUsed/>
    <w:qFormat/>
    <w:pPr>
      <w:tabs>
        <w:tab w:val="decimal" w:pos="0"/>
        <w:tab w:val="right" w:pos="9660"/>
      </w:tabs>
      <w:ind w:rightChars="200" w:right="420"/>
      <w:jc w:val="left"/>
    </w:pPr>
    <w:rPr>
      <w:rFonts w:eastAsiaTheme="minorEastAsia"/>
      <w:b/>
      <w:bCs/>
      <w:i/>
      <w:iCs/>
      <w:sz w:val="20"/>
    </w:rPr>
  </w:style>
  <w:style w:type="paragraph" w:styleId="a8">
    <w:name w:val="List"/>
    <w:basedOn w:val="a"/>
    <w:qFormat/>
    <w:pPr>
      <w:ind w:left="568" w:hanging="284"/>
    </w:pPr>
  </w:style>
  <w:style w:type="paragraph" w:styleId="a9">
    <w:name w:val="table of figures"/>
    <w:basedOn w:val="a"/>
    <w:next w:val="a"/>
    <w:uiPriority w:val="99"/>
    <w:semiHidden/>
    <w:unhideWhenUsed/>
    <w:qFormat/>
    <w:pPr>
      <w:ind w:leftChars="200" w:left="200" w:hangingChars="200" w:hanging="200"/>
    </w:pPr>
  </w:style>
  <w:style w:type="paragraph" w:styleId="20">
    <w:name w:val="toc 2"/>
    <w:basedOn w:val="a"/>
    <w:next w:val="a"/>
    <w:uiPriority w:val="99"/>
    <w:semiHidden/>
    <w:unhideWhenUsed/>
    <w:qFormat/>
    <w:pPr>
      <w:tabs>
        <w:tab w:val="right" w:pos="420"/>
      </w:tabs>
      <w:ind w:leftChars="200" w:left="862" w:hangingChars="200" w:hanging="442"/>
      <w:jc w:val="left"/>
    </w:pPr>
    <w:rPr>
      <w:b/>
      <w:i/>
      <w:sz w:val="20"/>
    </w:rPr>
  </w:style>
  <w:style w:type="paragraph" w:styleId="aa">
    <w:name w:val="Normal (Web)"/>
    <w:basedOn w:val="a"/>
    <w:uiPriority w:val="99"/>
    <w:unhideWhenUsed/>
    <w:qFormat/>
    <w:pPr>
      <w:spacing w:after="0"/>
      <w:jc w:val="left"/>
    </w:pPr>
    <w:rPr>
      <w:rFonts w:ascii="宋体" w:hAnsi="宋体" w:cs="宋体"/>
      <w:sz w:val="24"/>
      <w:szCs w:val="24"/>
    </w:rPr>
  </w:style>
  <w:style w:type="paragraph" w:styleId="ab">
    <w:name w:val="annotation subject"/>
    <w:basedOn w:val="a3"/>
    <w:next w:val="a3"/>
    <w:link w:val="Char2"/>
    <w:uiPriority w:val="99"/>
    <w:semiHidden/>
    <w:unhideWhenUsed/>
    <w:qFormat/>
    <w:pPr>
      <w:spacing w:line="240" w:lineRule="auto"/>
    </w:pPr>
    <w:rPr>
      <w:b/>
      <w:bCs/>
      <w:sz w:val="20"/>
    </w:rPr>
  </w:style>
  <w:style w:type="table" w:styleId="ac">
    <w:name w:val="Table Grid"/>
    <w:basedOn w:val="a1"/>
    <w:uiPriority w:val="9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basedOn w:val="a0"/>
    <w:uiPriority w:val="99"/>
    <w:qFormat/>
    <w:rPr>
      <w:b/>
      <w:sz w:val="20"/>
      <w:szCs w:val="20"/>
      <w:shd w:val="clear" w:color="auto" w:fill="00A65A"/>
    </w:rPr>
  </w:style>
  <w:style w:type="character" w:styleId="ae">
    <w:name w:val="FollowedHyperlink"/>
    <w:basedOn w:val="a0"/>
    <w:uiPriority w:val="99"/>
    <w:semiHidden/>
    <w:unhideWhenUsed/>
    <w:qFormat/>
    <w:rPr>
      <w:color w:val="409EFF"/>
      <w:u w:val="none"/>
    </w:rPr>
  </w:style>
  <w:style w:type="character" w:styleId="HTML">
    <w:name w:val="HTML Definition"/>
    <w:basedOn w:val="a0"/>
    <w:uiPriority w:val="99"/>
    <w:semiHidden/>
    <w:unhideWhenUsed/>
    <w:qFormat/>
    <w:rPr>
      <w:i/>
      <w:shd w:val="clear" w:color="auto" w:fill="FFFFFF"/>
    </w:rPr>
  </w:style>
  <w:style w:type="character" w:styleId="af">
    <w:name w:val="Hyperlink"/>
    <w:basedOn w:val="a0"/>
    <w:uiPriority w:val="99"/>
    <w:unhideWhenUsed/>
    <w:qFormat/>
    <w:rPr>
      <w:color w:val="409EFF"/>
      <w:u w:val="none"/>
    </w:rPr>
  </w:style>
  <w:style w:type="character" w:styleId="HTML0">
    <w:name w:val="HTML Code"/>
    <w:basedOn w:val="a0"/>
    <w:uiPriority w:val="99"/>
    <w:semiHidden/>
    <w:unhideWhenUsed/>
    <w:qFormat/>
    <w:rPr>
      <w:rFonts w:ascii="Consolas" w:eastAsia="Consolas" w:hAnsi="Consolas" w:cs="Consolas" w:hint="default"/>
      <w:color w:val="C7254E"/>
      <w:sz w:val="21"/>
      <w:szCs w:val="21"/>
      <w:shd w:val="clear" w:color="auto" w:fill="F9F2F4"/>
    </w:rPr>
  </w:style>
  <w:style w:type="character" w:styleId="af0">
    <w:name w:val="annotation reference"/>
    <w:basedOn w:val="a0"/>
    <w:uiPriority w:val="99"/>
    <w:semiHidden/>
    <w:unhideWhenUsed/>
    <w:qFormat/>
    <w:rPr>
      <w:sz w:val="16"/>
      <w:szCs w:val="16"/>
    </w:rPr>
  </w:style>
  <w:style w:type="character" w:styleId="HTML1">
    <w:name w:val="HTML Keyboard"/>
    <w:basedOn w:val="a0"/>
    <w:uiPriority w:val="99"/>
    <w:semiHidden/>
    <w:unhideWhenUsed/>
    <w:qFormat/>
    <w:rPr>
      <w:rFonts w:ascii="Consolas" w:eastAsia="Consolas" w:hAnsi="Consolas" w:cs="Consolas"/>
      <w:color w:val="FFFFFF"/>
      <w:sz w:val="21"/>
      <w:szCs w:val="21"/>
      <w:shd w:val="clear" w:color="auto" w:fill="333333"/>
    </w:rPr>
  </w:style>
  <w:style w:type="character" w:styleId="HTML2">
    <w:name w:val="HTML Sample"/>
    <w:basedOn w:val="a0"/>
    <w:uiPriority w:val="99"/>
    <w:semiHidden/>
    <w:unhideWhenUsed/>
    <w:qFormat/>
    <w:rPr>
      <w:rFonts w:ascii="Consolas" w:eastAsia="Consolas" w:hAnsi="Consolas" w:cs="Consolas" w:hint="default"/>
      <w:sz w:val="21"/>
      <w:szCs w:val="21"/>
    </w:rPr>
  </w:style>
  <w:style w:type="paragraph" w:customStyle="1" w:styleId="YJ-Observation">
    <w:name w:val="YJ-Observation"/>
    <w:basedOn w:val="YJ-Proposal"/>
    <w:qFormat/>
    <w:pPr>
      <w:numPr>
        <w:numId w:val="2"/>
      </w:numPr>
      <w:tabs>
        <w:tab w:val="left" w:pos="420"/>
      </w:tabs>
    </w:pPr>
  </w:style>
  <w:style w:type="paragraph" w:customStyle="1" w:styleId="YJ-Proposal">
    <w:name w:val="YJ-Proposal"/>
    <w:basedOn w:val="a"/>
    <w:qFormat/>
    <w:pPr>
      <w:numPr>
        <w:numId w:val="3"/>
      </w:numPr>
      <w:jc w:val="left"/>
    </w:pPr>
    <w:rPr>
      <w:rFonts w:eastAsiaTheme="minorEastAsia"/>
      <w:b/>
      <w:bCs/>
      <w:i/>
      <w:iCs/>
      <w:sz w:val="20"/>
      <w:lang w:val="en-GB" w:eastAsia="en-US"/>
    </w:rPr>
  </w:style>
  <w:style w:type="paragraph" w:customStyle="1" w:styleId="sub-proposal">
    <w:name w:val="sub-proposal"/>
    <w:basedOn w:val="YJ-Proposal"/>
    <w:next w:val="a"/>
    <w:qFormat/>
    <w:pPr>
      <w:numPr>
        <w:numId w:val="4"/>
      </w:numPr>
      <w:tabs>
        <w:tab w:val="left" w:pos="807"/>
      </w:tabs>
      <w:ind w:leftChars="200" w:left="862" w:hangingChars="200" w:hanging="442"/>
    </w:pPr>
  </w:style>
  <w:style w:type="paragraph" w:customStyle="1" w:styleId="sub-observation">
    <w:name w:val="sub-observation"/>
    <w:basedOn w:val="sub-proposal"/>
    <w:next w:val="a"/>
    <w:qFormat/>
  </w:style>
  <w:style w:type="paragraph" w:customStyle="1" w:styleId="3rdlevelproposal">
    <w:name w:val="3rd level proposal"/>
    <w:basedOn w:val="sub-proposal"/>
    <w:next w:val="a"/>
    <w:qFormat/>
    <w:pPr>
      <w:numPr>
        <w:numId w:val="5"/>
      </w:numPr>
      <w:ind w:leftChars="400" w:left="1282" w:hanging="442"/>
    </w:pPr>
  </w:style>
  <w:style w:type="paragraph" w:customStyle="1" w:styleId="3rdlevelobservation">
    <w:name w:val="3rd level observation"/>
    <w:basedOn w:val="sub-observation"/>
    <w:qFormat/>
    <w:pPr>
      <w:numPr>
        <w:numId w:val="6"/>
      </w:numPr>
      <w:ind w:leftChars="400" w:left="1282" w:hanging="442"/>
    </w:pPr>
  </w:style>
  <w:style w:type="paragraph" w:customStyle="1" w:styleId="References">
    <w:name w:val="References"/>
    <w:basedOn w:val="a"/>
    <w:qFormat/>
    <w:pPr>
      <w:numPr>
        <w:numId w:val="7"/>
      </w:numPr>
      <w:spacing w:after="60"/>
    </w:pPr>
    <w:rPr>
      <w:szCs w:val="16"/>
    </w:rPr>
  </w:style>
  <w:style w:type="paragraph" w:styleId="af1">
    <w:name w:val="List Paragraph"/>
    <w:basedOn w:val="a"/>
    <w:link w:val="Char3"/>
    <w:uiPriority w:val="34"/>
    <w:qFormat/>
    <w:pPr>
      <w:spacing w:beforeLines="0" w:after="0" w:line="240" w:lineRule="auto"/>
      <w:ind w:left="720"/>
      <w:contextualSpacing/>
    </w:pPr>
    <w:rPr>
      <w:rFonts w:eastAsia="Times New Roman"/>
      <w:sz w:val="24"/>
      <w:szCs w:val="24"/>
    </w:rPr>
  </w:style>
  <w:style w:type="paragraph" w:customStyle="1" w:styleId="11">
    <w:name w:val="样式1"/>
    <w:basedOn w:val="a"/>
    <w:qFormat/>
  </w:style>
  <w:style w:type="paragraph" w:customStyle="1" w:styleId="21">
    <w:name w:val="样式2"/>
    <w:basedOn w:val="a"/>
    <w:qFormat/>
  </w:style>
  <w:style w:type="character" w:customStyle="1" w:styleId="apple-converted-space">
    <w:name w:val="apple-converted-space"/>
    <w:basedOn w:val="a0"/>
    <w:qFormat/>
  </w:style>
  <w:style w:type="character" w:customStyle="1" w:styleId="Char0">
    <w:name w:val="批注框文本 Char"/>
    <w:basedOn w:val="a0"/>
    <w:link w:val="a5"/>
    <w:uiPriority w:val="99"/>
    <w:semiHidden/>
    <w:qFormat/>
    <w:rPr>
      <w:rFonts w:ascii="Microsoft YaHei UI" w:eastAsia="Microsoft YaHei UI"/>
      <w:kern w:val="2"/>
      <w:sz w:val="18"/>
      <w:szCs w:val="18"/>
    </w:rPr>
  </w:style>
  <w:style w:type="character" w:customStyle="1" w:styleId="Char">
    <w:name w:val="批注文字 Char"/>
    <w:basedOn w:val="a0"/>
    <w:link w:val="a3"/>
    <w:semiHidden/>
    <w:qFormat/>
    <w:rPr>
      <w:kern w:val="2"/>
      <w:sz w:val="21"/>
    </w:rPr>
  </w:style>
  <w:style w:type="character" w:customStyle="1" w:styleId="Char2">
    <w:name w:val="批注主题 Char"/>
    <w:basedOn w:val="Char"/>
    <w:link w:val="ab"/>
    <w:uiPriority w:val="99"/>
    <w:semiHidden/>
    <w:qFormat/>
    <w:rPr>
      <w:b/>
      <w:bCs/>
      <w:kern w:val="2"/>
      <w:sz w:val="21"/>
    </w:rPr>
  </w:style>
  <w:style w:type="character" w:customStyle="1" w:styleId="Char1">
    <w:name w:val="页眉 Char"/>
    <w:basedOn w:val="a0"/>
    <w:link w:val="a7"/>
    <w:semiHidden/>
    <w:qFormat/>
    <w:rPr>
      <w:kern w:val="2"/>
      <w:sz w:val="21"/>
    </w:rPr>
  </w:style>
  <w:style w:type="character" w:customStyle="1" w:styleId="badge58">
    <w:name w:val="badge58"/>
    <w:basedOn w:val="a0"/>
    <w:qFormat/>
    <w:rPr>
      <w:b/>
      <w:color w:val="FFFFFF"/>
      <w:sz w:val="24"/>
      <w:szCs w:val="24"/>
      <w:shd w:val="clear" w:color="auto" w:fill="001F3F"/>
    </w:rPr>
  </w:style>
  <w:style w:type="character" w:customStyle="1" w:styleId="hover16">
    <w:name w:val="hover16"/>
    <w:basedOn w:val="a0"/>
    <w:qFormat/>
    <w:rPr>
      <w:shd w:val="clear" w:color="auto" w:fill="EEEEEE"/>
    </w:rPr>
  </w:style>
  <w:style w:type="character" w:customStyle="1" w:styleId="active3">
    <w:name w:val="active3"/>
    <w:basedOn w:val="a0"/>
    <w:qFormat/>
    <w:rPr>
      <w:color w:val="FFFFFF"/>
      <w:shd w:val="clear" w:color="auto" w:fill="006DCC"/>
    </w:rPr>
  </w:style>
  <w:style w:type="character" w:customStyle="1" w:styleId="old">
    <w:name w:val="old"/>
    <w:basedOn w:val="a0"/>
    <w:qFormat/>
    <w:rPr>
      <w:color w:val="999999"/>
    </w:rPr>
  </w:style>
  <w:style w:type="character" w:customStyle="1" w:styleId="via1">
    <w:name w:val="via1"/>
    <w:basedOn w:val="a0"/>
    <w:qFormat/>
    <w:rPr>
      <w:color w:val="959595"/>
    </w:rPr>
  </w:style>
  <w:style w:type="character" w:customStyle="1" w:styleId="keyword1">
    <w:name w:val="keyword1"/>
    <w:basedOn w:val="a0"/>
    <w:qFormat/>
  </w:style>
  <w:style w:type="character" w:customStyle="1" w:styleId="badge57">
    <w:name w:val="badge57"/>
    <w:basedOn w:val="a0"/>
    <w:qFormat/>
    <w:rPr>
      <w:b/>
      <w:color w:val="FFFFFF"/>
      <w:sz w:val="24"/>
      <w:szCs w:val="24"/>
      <w:shd w:val="clear" w:color="auto" w:fill="001F3F"/>
    </w:rPr>
  </w:style>
  <w:style w:type="character" w:customStyle="1" w:styleId="active1">
    <w:name w:val="active1"/>
    <w:basedOn w:val="a0"/>
    <w:qFormat/>
    <w:rPr>
      <w:color w:val="FFFFFF"/>
      <w:shd w:val="clear" w:color="auto" w:fill="006DCC"/>
    </w:rPr>
  </w:style>
  <w:style w:type="character" w:customStyle="1" w:styleId="badge56">
    <w:name w:val="badge56"/>
    <w:basedOn w:val="a0"/>
    <w:qFormat/>
    <w:rPr>
      <w:b/>
      <w:color w:val="FFFFFF"/>
      <w:sz w:val="24"/>
      <w:szCs w:val="24"/>
      <w:shd w:val="clear" w:color="auto" w:fill="001F3F"/>
    </w:rPr>
  </w:style>
  <w:style w:type="character" w:customStyle="1" w:styleId="hover14">
    <w:name w:val="hover14"/>
    <w:basedOn w:val="a0"/>
    <w:qFormat/>
    <w:rPr>
      <w:shd w:val="clear" w:color="auto" w:fill="EEEEEE"/>
    </w:rPr>
  </w:style>
  <w:style w:type="paragraph" w:customStyle="1" w:styleId="12">
    <w:name w:val="修订1"/>
    <w:hidden/>
    <w:uiPriority w:val="99"/>
    <w:semiHidden/>
    <w:qFormat/>
    <w:rPr>
      <w:kern w:val="2"/>
      <w:sz w:val="21"/>
    </w:rPr>
  </w:style>
  <w:style w:type="character" w:customStyle="1" w:styleId="hover15">
    <w:name w:val="hover15"/>
    <w:basedOn w:val="a0"/>
    <w:qFormat/>
    <w:rPr>
      <w:shd w:val="clear" w:color="auto" w:fill="EEEEEE"/>
    </w:rPr>
  </w:style>
  <w:style w:type="paragraph" w:customStyle="1" w:styleId="Default">
    <w:name w:val="Default"/>
    <w:uiPriority w:val="99"/>
    <w:unhideWhenUsed/>
    <w:qFormat/>
    <w:pPr>
      <w:widowControl w:val="0"/>
      <w:autoSpaceDE w:val="0"/>
      <w:autoSpaceDN w:val="0"/>
      <w:adjustRightInd w:val="0"/>
    </w:pPr>
    <w:rPr>
      <w:rFonts w:eastAsia="Times New Roman" w:hint="eastAsia"/>
      <w:color w:val="000000"/>
      <w:sz w:val="24"/>
    </w:rPr>
  </w:style>
  <w:style w:type="character" w:customStyle="1" w:styleId="hover">
    <w:name w:val="hover"/>
    <w:basedOn w:val="a0"/>
    <w:qFormat/>
    <w:rPr>
      <w:shd w:val="clear" w:color="auto" w:fill="EEEEEE"/>
    </w:rPr>
  </w:style>
  <w:style w:type="paragraph" w:customStyle="1" w:styleId="TAL">
    <w:name w:val="TAL"/>
    <w:basedOn w:val="a"/>
    <w:qFormat/>
    <w:pPr>
      <w:keepNext/>
      <w:keepLines/>
      <w:spacing w:after="0"/>
    </w:pPr>
    <w:rPr>
      <w:rFonts w:ascii="Arial" w:hAnsi="Arial"/>
      <w:sz w:val="18"/>
    </w:rPr>
  </w:style>
  <w:style w:type="character" w:customStyle="1" w:styleId="badge55">
    <w:name w:val="badge55"/>
    <w:basedOn w:val="a0"/>
    <w:qFormat/>
    <w:rPr>
      <w:b/>
      <w:color w:val="FFFFFF"/>
      <w:sz w:val="24"/>
      <w:szCs w:val="24"/>
      <w:shd w:val="clear" w:color="auto" w:fill="001F3F"/>
    </w:rPr>
  </w:style>
  <w:style w:type="character" w:customStyle="1" w:styleId="active">
    <w:name w:val="active"/>
    <w:basedOn w:val="a0"/>
    <w:qFormat/>
    <w:rPr>
      <w:color w:val="FFFFFF"/>
      <w:shd w:val="clear" w:color="auto" w:fill="006DCC"/>
    </w:rPr>
  </w:style>
  <w:style w:type="character" w:customStyle="1" w:styleId="badge">
    <w:name w:val="badge"/>
    <w:basedOn w:val="a0"/>
    <w:qFormat/>
    <w:rPr>
      <w:b/>
      <w:color w:val="FFFFFF"/>
      <w:sz w:val="24"/>
      <w:szCs w:val="24"/>
      <w:shd w:val="clear" w:color="auto" w:fill="001F3F"/>
    </w:rPr>
  </w:style>
  <w:style w:type="paragraph" w:customStyle="1" w:styleId="B1">
    <w:name w:val="B1"/>
    <w:basedOn w:val="a8"/>
    <w:qFormat/>
  </w:style>
  <w:style w:type="character" w:customStyle="1" w:styleId="Char3">
    <w:name w:val="列出段落 Char"/>
    <w:link w:val="af1"/>
    <w:uiPriority w:val="34"/>
    <w:qFormat/>
    <w:locked/>
    <w:rPr>
      <w:rFonts w:eastAsia="Times New Roman"/>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8.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footer" Target="footer3.xml"/><Relationship Id="rId10" Type="http://schemas.openxmlformats.org/officeDocument/2006/relationships/image" Target="media/image2.png"/><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header" Target="head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A3425A2-3303-4B04-B31E-B3468B52E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8</Pages>
  <Words>2519</Words>
  <Characters>14364</Characters>
  <Application>Microsoft Office Word</Application>
  <DocSecurity>0</DocSecurity>
  <Lines>119</Lines>
  <Paragraphs>33</Paragraphs>
  <ScaleCrop>false</ScaleCrop>
  <Company/>
  <LinksUpToDate>false</LinksUpToDate>
  <CharactersWithSpaces>16850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ZTE,Mengzhu</cp:lastModifiedBy>
  <cp:revision>12</cp:revision>
  <dcterms:created xsi:type="dcterms:W3CDTF">2021-11-03T07:40:00Z</dcterms:created>
  <dcterms:modified xsi:type="dcterms:W3CDTF">2021-11-05T11:45:00Z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